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F29BF">
      <w:pPr>
        <w:spacing w:line="600" w:lineRule="exact"/>
        <w:rPr>
          <w:rFonts w:hint="default" w:ascii="Times New Roman" w:hAnsi="Times New Roman" w:eastAsia="黑体" w:cs="Times New Roman"/>
          <w:b/>
          <w:bCs/>
          <w:color w:val="auto"/>
          <w:kern w:val="0"/>
          <w:sz w:val="32"/>
          <w:szCs w:val="32"/>
          <w:lang w:val="en-US" w:eastAsia="zh-CN"/>
        </w:rPr>
      </w:pPr>
      <w:r>
        <w:rPr>
          <w:rFonts w:hint="default" w:ascii="黑体" w:hAnsi="黑体" w:eastAsia="黑体" w:cs="黑体"/>
          <w:b/>
          <w:bCs/>
          <w:color w:val="auto"/>
          <w:kern w:val="2"/>
          <w:sz w:val="32"/>
          <w:szCs w:val="32"/>
          <w:lang w:val="en-US" w:eastAsia="zh-CN" w:bidi="ar-SA"/>
        </w:rPr>
        <w:t>附件</w:t>
      </w:r>
      <w:r>
        <w:rPr>
          <w:rFonts w:hint="eastAsia" w:ascii="黑体" w:hAnsi="黑体" w:eastAsia="黑体" w:cs="黑体"/>
          <w:b/>
          <w:bCs/>
          <w:color w:val="auto"/>
          <w:kern w:val="2"/>
          <w:sz w:val="32"/>
          <w:szCs w:val="32"/>
          <w:lang w:val="en-US" w:eastAsia="zh-CN" w:bidi="ar-SA"/>
        </w:rPr>
        <w:t>6</w:t>
      </w:r>
    </w:p>
    <w:p w14:paraId="6A0703ED">
      <w:pPr>
        <w:spacing w:line="600" w:lineRule="exact"/>
        <w:rPr>
          <w:rFonts w:hint="default" w:ascii="Times New Roman" w:hAnsi="Times New Roman" w:eastAsia="黑体" w:cs="Times New Roman"/>
          <w:b/>
          <w:bCs/>
          <w:color w:val="auto"/>
          <w:kern w:val="0"/>
          <w:sz w:val="32"/>
          <w:szCs w:val="32"/>
        </w:rPr>
      </w:pPr>
    </w:p>
    <w:p w14:paraId="3BC89F23">
      <w:pPr>
        <w:jc w:val="center"/>
        <w:rPr>
          <w:rFonts w:hint="default" w:ascii="Times New Roman" w:hAnsi="Times New Roman" w:eastAsia="方正小标宋_GBK" w:cs="Times New Roman"/>
          <w:b/>
          <w:bCs/>
          <w:color w:val="auto"/>
          <w:sz w:val="48"/>
          <w:szCs w:val="48"/>
        </w:rPr>
      </w:pPr>
      <w:r>
        <w:rPr>
          <w:rFonts w:hint="eastAsia" w:ascii="Times New Roman" w:hAnsi="Times New Roman" w:eastAsia="方正小标宋_GBK" w:cs="Times New Roman"/>
          <w:b/>
          <w:bCs/>
          <w:color w:val="auto"/>
          <w:sz w:val="48"/>
          <w:szCs w:val="48"/>
          <w:lang w:val="en-US" w:eastAsia="zh-CN"/>
        </w:rPr>
        <w:t>2024</w:t>
      </w:r>
      <w:r>
        <w:rPr>
          <w:rFonts w:hint="default" w:ascii="Times New Roman" w:hAnsi="Times New Roman" w:eastAsia="方正小标宋_GBK" w:cs="Times New Roman"/>
          <w:b/>
          <w:bCs/>
          <w:color w:val="auto"/>
          <w:sz w:val="48"/>
          <w:szCs w:val="48"/>
        </w:rPr>
        <w:t>年度</w:t>
      </w:r>
      <w:r>
        <w:rPr>
          <w:rFonts w:hint="eastAsia" w:ascii="Times New Roman" w:hAnsi="Times New Roman" w:eastAsia="方正小标宋_GBK" w:cs="Times New Roman"/>
          <w:b/>
          <w:bCs/>
          <w:color w:val="auto"/>
          <w:sz w:val="48"/>
          <w:szCs w:val="48"/>
          <w:lang w:val="en-US" w:eastAsia="zh-CN"/>
        </w:rPr>
        <w:t>中共湘潭市纪律检查委员会</w:t>
      </w:r>
      <w:r>
        <w:rPr>
          <w:rFonts w:hint="default" w:ascii="Times New Roman" w:hAnsi="Times New Roman" w:eastAsia="方正小标宋_GBK" w:cs="Times New Roman"/>
          <w:b/>
          <w:bCs/>
          <w:color w:val="auto"/>
          <w:sz w:val="48"/>
          <w:szCs w:val="48"/>
        </w:rPr>
        <w:t>部门整体支出绩效自评报告</w:t>
      </w:r>
    </w:p>
    <w:p w14:paraId="7F5C5D4A">
      <w:pPr>
        <w:jc w:val="center"/>
        <w:rPr>
          <w:rFonts w:hint="default" w:ascii="Times New Roman" w:hAnsi="Times New Roman" w:eastAsia="黑体" w:cs="Times New Roman"/>
          <w:b/>
          <w:bCs/>
          <w:color w:val="auto"/>
          <w:sz w:val="32"/>
          <w:szCs w:val="32"/>
        </w:rPr>
      </w:pPr>
    </w:p>
    <w:p w14:paraId="4D3BE828">
      <w:pPr>
        <w:jc w:val="center"/>
        <w:rPr>
          <w:rFonts w:hint="default" w:ascii="Times New Roman" w:hAnsi="Times New Roman" w:eastAsia="黑体" w:cs="Times New Roman"/>
          <w:b/>
          <w:bCs/>
          <w:color w:val="auto"/>
          <w:sz w:val="32"/>
          <w:szCs w:val="32"/>
        </w:rPr>
      </w:pPr>
    </w:p>
    <w:p w14:paraId="5A023554">
      <w:pPr>
        <w:jc w:val="center"/>
        <w:rPr>
          <w:rFonts w:hint="default" w:ascii="Times New Roman" w:hAnsi="Times New Roman" w:eastAsia="黑体" w:cs="Times New Roman"/>
          <w:b/>
          <w:bCs/>
          <w:color w:val="auto"/>
          <w:sz w:val="32"/>
          <w:szCs w:val="32"/>
        </w:rPr>
      </w:pPr>
    </w:p>
    <w:p w14:paraId="4FA426A0">
      <w:pPr>
        <w:jc w:val="center"/>
        <w:rPr>
          <w:rFonts w:hint="default" w:ascii="Times New Roman" w:hAnsi="Times New Roman" w:eastAsia="黑体" w:cs="Times New Roman"/>
          <w:b/>
          <w:bCs/>
          <w:color w:val="auto"/>
          <w:sz w:val="32"/>
          <w:szCs w:val="32"/>
        </w:rPr>
      </w:pPr>
    </w:p>
    <w:p w14:paraId="26BFAACF">
      <w:pPr>
        <w:jc w:val="center"/>
        <w:rPr>
          <w:rFonts w:hint="default" w:ascii="Times New Roman" w:hAnsi="Times New Roman" w:eastAsia="黑体" w:cs="Times New Roman"/>
          <w:b/>
          <w:bCs/>
          <w:color w:val="auto"/>
          <w:sz w:val="32"/>
          <w:szCs w:val="32"/>
        </w:rPr>
      </w:pPr>
    </w:p>
    <w:p w14:paraId="5ABD121C">
      <w:pPr>
        <w:jc w:val="center"/>
        <w:rPr>
          <w:rFonts w:hint="default" w:ascii="Times New Roman" w:hAnsi="Times New Roman" w:eastAsia="黑体" w:cs="Times New Roman"/>
          <w:b/>
          <w:bCs/>
          <w:color w:val="auto"/>
          <w:sz w:val="32"/>
          <w:szCs w:val="32"/>
        </w:rPr>
      </w:pPr>
    </w:p>
    <w:p w14:paraId="4C581E9F">
      <w:pPr>
        <w:jc w:val="center"/>
        <w:rPr>
          <w:rFonts w:hint="default" w:ascii="Times New Roman" w:hAnsi="Times New Roman" w:eastAsia="黑体" w:cs="Times New Roman"/>
          <w:b/>
          <w:bCs/>
          <w:color w:val="auto"/>
          <w:sz w:val="32"/>
          <w:szCs w:val="32"/>
        </w:rPr>
      </w:pPr>
    </w:p>
    <w:p w14:paraId="5598DBCD">
      <w:pPr>
        <w:ind w:firstLine="883" w:firstLineChars="200"/>
        <w:jc w:val="center"/>
        <w:rPr>
          <w:rFonts w:hint="default" w:ascii="Times New Roman" w:hAnsi="Times New Roman" w:eastAsia="黑体" w:cs="Times New Roman"/>
          <w:b/>
          <w:bCs/>
          <w:color w:val="auto"/>
          <w:sz w:val="44"/>
          <w:szCs w:val="44"/>
        </w:rPr>
      </w:pPr>
    </w:p>
    <w:p w14:paraId="1BD83224">
      <w:pPr>
        <w:ind w:firstLine="883" w:firstLineChars="200"/>
        <w:jc w:val="center"/>
        <w:rPr>
          <w:rFonts w:hint="default" w:ascii="Times New Roman" w:hAnsi="Times New Roman" w:eastAsia="黑体" w:cs="Times New Roman"/>
          <w:b/>
          <w:bCs/>
          <w:color w:val="auto"/>
          <w:sz w:val="44"/>
          <w:szCs w:val="44"/>
        </w:rPr>
      </w:pPr>
    </w:p>
    <w:p w14:paraId="292A244D">
      <w:pPr>
        <w:ind w:firstLine="883" w:firstLineChars="200"/>
        <w:jc w:val="center"/>
        <w:rPr>
          <w:rFonts w:hint="default" w:ascii="Times New Roman" w:hAnsi="Times New Roman" w:eastAsia="黑体" w:cs="Times New Roman"/>
          <w:b/>
          <w:bCs/>
          <w:color w:val="auto"/>
          <w:sz w:val="44"/>
          <w:szCs w:val="44"/>
        </w:rPr>
      </w:pPr>
    </w:p>
    <w:p w14:paraId="335F9771">
      <w:pPr>
        <w:ind w:firstLine="723" w:firstLineChars="200"/>
        <w:jc w:val="center"/>
        <w:rPr>
          <w:rFonts w:hint="default" w:ascii="Times New Roman" w:hAnsi="Times New Roman" w:eastAsia="黑体" w:cs="Times New Roman"/>
          <w:b/>
          <w:bCs/>
          <w:color w:val="auto"/>
          <w:sz w:val="36"/>
          <w:szCs w:val="36"/>
        </w:rPr>
      </w:pPr>
      <w:r>
        <w:rPr>
          <w:rFonts w:hint="default" w:ascii="Times New Roman" w:hAnsi="Times New Roman" w:eastAsia="黑体" w:cs="Times New Roman"/>
          <w:b/>
          <w:bCs/>
          <w:color w:val="auto"/>
          <w:sz w:val="36"/>
          <w:szCs w:val="36"/>
        </w:rPr>
        <w:t>单位名称（盖章）：</w:t>
      </w:r>
    </w:p>
    <w:p w14:paraId="4B14C583">
      <w:pPr>
        <w:jc w:val="center"/>
        <w:rPr>
          <w:rFonts w:hint="default" w:ascii="Times New Roman" w:hAnsi="Times New Roman" w:eastAsia="黑体" w:cs="Times New Roman"/>
          <w:b/>
          <w:bCs/>
          <w:color w:val="auto"/>
          <w:sz w:val="36"/>
          <w:szCs w:val="36"/>
        </w:rPr>
      </w:pPr>
    </w:p>
    <w:p w14:paraId="699BD089">
      <w:pPr>
        <w:jc w:val="center"/>
        <w:rPr>
          <w:rFonts w:hint="default" w:ascii="Times New Roman" w:hAnsi="Times New Roman" w:eastAsia="黑体" w:cs="Times New Roman"/>
          <w:b/>
          <w:bCs/>
          <w:color w:val="auto"/>
          <w:sz w:val="32"/>
          <w:szCs w:val="32"/>
        </w:rPr>
      </w:pPr>
    </w:p>
    <w:p w14:paraId="27A18C1B">
      <w:pPr>
        <w:jc w:val="center"/>
        <w:rPr>
          <w:rFonts w:hint="default" w:ascii="Times New Roman" w:hAnsi="Times New Roman" w:eastAsia="黑体" w:cs="Times New Roman"/>
          <w:b/>
          <w:bCs/>
          <w:color w:val="auto"/>
          <w:sz w:val="32"/>
          <w:szCs w:val="32"/>
        </w:rPr>
      </w:pPr>
    </w:p>
    <w:p w14:paraId="2814EE64">
      <w:pPr>
        <w:jc w:val="center"/>
        <w:rPr>
          <w:rFonts w:hint="default" w:ascii="Times New Roman" w:hAnsi="Times New Roman" w:eastAsia="黑体" w:cs="Times New Roman"/>
          <w:b/>
          <w:bCs/>
          <w:color w:val="auto"/>
          <w:sz w:val="32"/>
          <w:szCs w:val="32"/>
        </w:rPr>
      </w:pPr>
    </w:p>
    <w:p w14:paraId="08662D49">
      <w:pPr>
        <w:jc w:val="center"/>
        <w:rPr>
          <w:rFonts w:hint="default" w:ascii="Times New Roman" w:hAnsi="Times New Roman" w:eastAsia="仿宋_GB2312" w:cs="Times New Roman"/>
          <w:b/>
          <w:bCs/>
          <w:color w:val="auto"/>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b/>
          <w:bCs/>
          <w:color w:val="auto"/>
          <w:sz w:val="32"/>
          <w:szCs w:val="32"/>
        </w:rPr>
        <w:t>（此页为封面）</w:t>
      </w:r>
    </w:p>
    <w:p w14:paraId="50A8A996">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黑体_GBK" w:hAnsi="方正黑体_GBK" w:eastAsia="方正黑体_GBK" w:cs="方正黑体_GBK"/>
          <w:b/>
          <w:bCs/>
          <w:color w:val="auto"/>
          <w:spacing w:val="-4"/>
          <w:sz w:val="32"/>
          <w:szCs w:val="32"/>
          <w:lang w:eastAsia="zh-CN"/>
        </w:rPr>
      </w:pPr>
      <w:r>
        <w:rPr>
          <w:rFonts w:hint="eastAsia" w:ascii="方正黑体_GBK" w:hAnsi="方正黑体_GBK" w:eastAsia="方正黑体_GBK" w:cs="方正黑体_GBK"/>
          <w:b/>
          <w:bCs/>
          <w:color w:val="auto"/>
          <w:spacing w:val="-4"/>
          <w:sz w:val="32"/>
          <w:szCs w:val="32"/>
        </w:rPr>
        <w:t>一、</w:t>
      </w:r>
      <w:r>
        <w:rPr>
          <w:rFonts w:hint="eastAsia" w:ascii="方正黑体_GBK" w:hAnsi="方正黑体_GBK" w:eastAsia="方正黑体_GBK" w:cs="方正黑体_GBK"/>
          <w:b/>
          <w:bCs/>
          <w:color w:val="auto"/>
          <w:spacing w:val="-4"/>
          <w:sz w:val="32"/>
          <w:szCs w:val="32"/>
          <w:lang w:eastAsia="zh-CN"/>
        </w:rPr>
        <w:t>部门概况</w:t>
      </w:r>
    </w:p>
    <w:p w14:paraId="0AAC3BFF">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楷体_GBK" w:hAnsi="方正楷体_GBK" w:eastAsia="方正楷体_GBK" w:cs="方正楷体_GBK"/>
          <w:b/>
          <w:bCs/>
          <w:color w:val="auto"/>
          <w:spacing w:val="-4"/>
          <w:sz w:val="32"/>
          <w:szCs w:val="32"/>
          <w:lang w:eastAsia="zh-CN"/>
        </w:rPr>
      </w:pPr>
      <w:r>
        <w:rPr>
          <w:rFonts w:hint="eastAsia" w:ascii="方正楷体_GBK" w:hAnsi="方正楷体_GBK" w:eastAsia="方正楷体_GBK" w:cs="方正楷体_GBK"/>
          <w:b/>
          <w:bCs/>
          <w:color w:val="auto"/>
          <w:spacing w:val="-4"/>
          <w:sz w:val="32"/>
          <w:szCs w:val="32"/>
          <w:lang w:eastAsia="zh-CN"/>
        </w:rPr>
        <w:t>（一）</w:t>
      </w:r>
      <w:r>
        <w:rPr>
          <w:rFonts w:hint="eastAsia" w:ascii="方正楷体_GBK" w:hAnsi="方正楷体_GBK" w:eastAsia="方正楷体_GBK" w:cs="方正楷体_GBK"/>
          <w:b/>
          <w:bCs/>
          <w:color w:val="auto"/>
          <w:spacing w:val="-4"/>
          <w:sz w:val="32"/>
          <w:szCs w:val="32"/>
        </w:rPr>
        <w:t>部门</w:t>
      </w:r>
      <w:r>
        <w:rPr>
          <w:rFonts w:hint="eastAsia" w:ascii="方正楷体_GBK" w:hAnsi="方正楷体_GBK" w:eastAsia="方正楷体_GBK" w:cs="方正楷体_GBK"/>
          <w:b/>
          <w:bCs/>
          <w:color w:val="auto"/>
          <w:spacing w:val="-4"/>
          <w:sz w:val="32"/>
          <w:szCs w:val="32"/>
          <w:lang w:eastAsia="zh-CN"/>
        </w:rPr>
        <w:t>基本情况</w:t>
      </w:r>
    </w:p>
    <w:p w14:paraId="413569D8">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lang w:val="en-US" w:eastAsia="zh-CN"/>
        </w:rPr>
        <w:t>1.</w:t>
      </w:r>
      <w:r>
        <w:rPr>
          <w:rFonts w:hint="eastAsia" w:ascii="方正仿宋_GBK" w:hAnsi="方正仿宋_GBK" w:eastAsia="方正仿宋_GBK" w:cs="方正仿宋_GBK"/>
          <w:b/>
          <w:bCs/>
          <w:color w:val="auto"/>
          <w:spacing w:val="-4"/>
          <w:sz w:val="32"/>
          <w:szCs w:val="32"/>
        </w:rPr>
        <w:t>机构设置</w:t>
      </w:r>
    </w:p>
    <w:p w14:paraId="4A3C01D5">
      <w:pPr>
        <w:pStyle w:val="2"/>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spacing w:val="-4"/>
          <w:sz w:val="32"/>
          <w:szCs w:val="32"/>
          <w:lang w:val="en-US" w:eastAsia="zh-CN"/>
        </w:rPr>
      </w:pPr>
      <w:r>
        <w:rPr>
          <w:rFonts w:hint="eastAsia" w:ascii="方正仿宋_GBK" w:hAnsi="方正仿宋_GBK" w:eastAsia="方正仿宋_GBK" w:cs="方正仿宋_GBK"/>
          <w:b/>
          <w:bCs/>
          <w:spacing w:val="-4"/>
          <w:sz w:val="32"/>
          <w:szCs w:val="32"/>
          <w:lang w:val="en-US" w:eastAsia="zh-CN"/>
        </w:rPr>
        <w:t>2024年我单位内设办公室、组织部等21个内设机构，下辖事业单位湘潭市党风廉政建设教育基地办公室和市监察委信息中心。核定人员编制数为234个（含各纪检监察派驻组125个），年末实有人数134人；退休56人。</w:t>
      </w:r>
    </w:p>
    <w:p w14:paraId="12D9E590">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val="en-US" w:eastAsia="zh-CN"/>
        </w:rPr>
        <w:t>2.</w:t>
      </w:r>
      <w:r>
        <w:rPr>
          <w:rFonts w:hint="eastAsia" w:ascii="方正仿宋_GBK" w:hAnsi="方正仿宋_GBK" w:eastAsia="方正仿宋_GBK" w:cs="方正仿宋_GBK"/>
          <w:b/>
          <w:bCs/>
          <w:color w:val="auto"/>
          <w:spacing w:val="-4"/>
          <w:sz w:val="32"/>
          <w:szCs w:val="32"/>
          <w:lang w:eastAsia="zh-CN"/>
        </w:rPr>
        <w:t>职能职责</w:t>
      </w:r>
    </w:p>
    <w:p w14:paraId="558DB3CF">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1</w:t>
      </w:r>
      <w:r>
        <w:rPr>
          <w:rFonts w:hint="eastAsia" w:ascii="方正仿宋_GBK" w:hAnsi="方正仿宋_GBK" w:eastAsia="方正仿宋_GBK" w:cs="方正仿宋_GBK"/>
          <w:b/>
          <w:bCs/>
          <w:color w:val="auto"/>
          <w:spacing w:val="-4"/>
          <w:sz w:val="32"/>
          <w:szCs w:val="32"/>
          <w:lang w:eastAsia="zh-CN"/>
        </w:rPr>
        <w:t xml:space="preserve">）主管党的纪律检查工作。负责贯彻落实党中央、省委和市委关于纪律检查工作的决定，严明党的纪律，全面履行党章赋予的职责，维护党的章程和其他党内法规，检查党的路线、方针、政策和决议的执行情况，协助市委加强党风廉政建设和组织协调反腐败工作。 </w:t>
      </w:r>
    </w:p>
    <w:p w14:paraId="65D93202">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2</w:t>
      </w:r>
      <w:r>
        <w:rPr>
          <w:rFonts w:hint="eastAsia" w:ascii="方正仿宋_GBK" w:hAnsi="方正仿宋_GBK" w:eastAsia="方正仿宋_GBK" w:cs="方正仿宋_GBK"/>
          <w:b/>
          <w:bCs/>
          <w:color w:val="auto"/>
          <w:spacing w:val="-4"/>
          <w:sz w:val="32"/>
          <w:szCs w:val="32"/>
          <w:lang w:eastAsia="zh-CN"/>
        </w:rPr>
        <w:t>）监察委员会依照监察法和有关法律规定履行监督、调查、处置职责：</w:t>
      </w:r>
    </w:p>
    <w:p w14:paraId="782ABDAB">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对公职人员开展廉政教育，对其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4055F6DD">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3</w:t>
      </w:r>
      <w:r>
        <w:rPr>
          <w:rFonts w:hint="eastAsia" w:ascii="方正仿宋_GBK" w:hAnsi="方正仿宋_GBK" w:eastAsia="方正仿宋_GBK" w:cs="方正仿宋_GBK"/>
          <w:b/>
          <w:bCs/>
          <w:color w:val="auto"/>
          <w:spacing w:val="-4"/>
          <w:sz w:val="32"/>
          <w:szCs w:val="32"/>
          <w:lang w:eastAsia="zh-CN"/>
        </w:rPr>
        <w:t>）各级监察委员会可以向本级中国共产党机关、国家机关、法律法规授权或者委托管理公共事务的组织和单位以及所管辖的行政区域、国有企业等派驻或者派出监察机构、监察专员。</w:t>
      </w:r>
    </w:p>
    <w:p w14:paraId="798EF550">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监察机构、监察专员对派驻或者派出它的监察委员会负责。</w:t>
      </w:r>
    </w:p>
    <w:p w14:paraId="5B17B3B8">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4</w:t>
      </w:r>
      <w:r>
        <w:rPr>
          <w:rFonts w:hint="eastAsia" w:ascii="方正仿宋_GBK" w:hAnsi="方正仿宋_GBK" w:eastAsia="方正仿宋_GBK" w:cs="方正仿宋_GBK"/>
          <w:b/>
          <w:bCs/>
          <w:color w:val="auto"/>
          <w:spacing w:val="-4"/>
          <w:sz w:val="32"/>
          <w:szCs w:val="32"/>
          <w:lang w:eastAsia="zh-CN"/>
        </w:rPr>
        <w:t>）派驻或者派出的监察机构、监察专员根据授权，按照管理权限依法对公职人员进行监督，提出监察建议，依法对公职人员进行调查、处置。</w:t>
      </w:r>
    </w:p>
    <w:p w14:paraId="3997EC14">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5</w:t>
      </w:r>
      <w:r>
        <w:rPr>
          <w:rFonts w:hint="eastAsia" w:ascii="方正仿宋_GBK" w:hAnsi="方正仿宋_GBK" w:eastAsia="方正仿宋_GBK" w:cs="方正仿宋_GBK"/>
          <w:b/>
          <w:bCs/>
          <w:color w:val="auto"/>
          <w:spacing w:val="-4"/>
          <w:sz w:val="32"/>
          <w:szCs w:val="32"/>
          <w:lang w:eastAsia="zh-CN"/>
        </w:rPr>
        <w:t xml:space="preserve">）受理对党组织和党员违反党纪行为的检举和党员的控告、申诉，保障党员的权利；受理对市监察委的监察对象违反行政纪律行为的控告、检举，受理监察对象不服政纪处分等申诉。 </w:t>
      </w:r>
    </w:p>
    <w:p w14:paraId="2FE6EBE2">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6</w:t>
      </w:r>
      <w:r>
        <w:rPr>
          <w:rFonts w:hint="eastAsia" w:ascii="方正仿宋_GBK" w:hAnsi="方正仿宋_GBK" w:eastAsia="方正仿宋_GBK" w:cs="方正仿宋_GBK"/>
          <w:b/>
          <w:bCs/>
          <w:color w:val="auto"/>
          <w:spacing w:val="-4"/>
          <w:sz w:val="32"/>
          <w:szCs w:val="32"/>
          <w:lang w:eastAsia="zh-CN"/>
        </w:rPr>
        <w:t xml:space="preserve">）组织协调党风廉政建设和反腐败宣传教育工作，开展对党员、公务员的理想信念和宗旨教育、党风党纪和廉洁自律教育，开展宣传和舆论引导，组织协调和指导廉政文化建设。 </w:t>
      </w:r>
    </w:p>
    <w:p w14:paraId="30E4075C">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7</w:t>
      </w:r>
      <w:r>
        <w:rPr>
          <w:rFonts w:hint="eastAsia" w:ascii="方正仿宋_GBK" w:hAnsi="方正仿宋_GBK" w:eastAsia="方正仿宋_GBK" w:cs="方正仿宋_GBK"/>
          <w:b/>
          <w:bCs/>
          <w:color w:val="auto"/>
          <w:spacing w:val="-4"/>
          <w:sz w:val="32"/>
          <w:szCs w:val="32"/>
          <w:lang w:eastAsia="zh-CN"/>
        </w:rPr>
        <w:t xml:space="preserve">）组织协调全市惩治和预防腐败体系建设工作；组织推进全市廉政风险防范管理、防止利益冲突工作。 </w:t>
      </w:r>
    </w:p>
    <w:p w14:paraId="22A2D11F">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8</w:t>
      </w:r>
      <w:r>
        <w:rPr>
          <w:rFonts w:hint="eastAsia" w:ascii="方正仿宋_GBK" w:hAnsi="方正仿宋_GBK" w:eastAsia="方正仿宋_GBK" w:cs="方正仿宋_GBK"/>
          <w:b/>
          <w:bCs/>
          <w:color w:val="auto"/>
          <w:spacing w:val="-4"/>
          <w:sz w:val="32"/>
          <w:szCs w:val="32"/>
          <w:lang w:eastAsia="zh-CN"/>
        </w:rPr>
        <w:t xml:space="preserve">）负责对纪检监察工作重大理论和实践问题进行调查研究，参与修订纪检监察法规制度。 </w:t>
      </w:r>
    </w:p>
    <w:p w14:paraId="13133D2D">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9</w:t>
      </w:r>
      <w:r>
        <w:rPr>
          <w:rFonts w:hint="eastAsia" w:ascii="方正仿宋_GBK" w:hAnsi="方正仿宋_GBK" w:eastAsia="方正仿宋_GBK" w:cs="方正仿宋_GBK"/>
          <w:b/>
          <w:bCs/>
          <w:color w:val="auto"/>
          <w:spacing w:val="-4"/>
          <w:sz w:val="32"/>
          <w:szCs w:val="32"/>
          <w:lang w:eastAsia="zh-CN"/>
        </w:rPr>
        <w:t xml:space="preserve">）承办省纪委监察委、市委授权和交办的其他事项。 </w:t>
      </w:r>
    </w:p>
    <w:p w14:paraId="63A1F759">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kern w:val="2"/>
          <w:sz w:val="32"/>
          <w:szCs w:val="32"/>
          <w:lang w:val="en-US" w:eastAsia="zh-CN" w:bidi="ar-SA"/>
        </w:rPr>
        <w:t>3.</w:t>
      </w:r>
      <w:r>
        <w:rPr>
          <w:rFonts w:hint="eastAsia" w:ascii="方正仿宋_GBK" w:hAnsi="方正仿宋_GBK" w:eastAsia="方正仿宋_GBK" w:cs="方正仿宋_GBK"/>
          <w:b/>
          <w:bCs/>
          <w:color w:val="auto"/>
          <w:spacing w:val="-4"/>
          <w:sz w:val="32"/>
          <w:szCs w:val="32"/>
          <w:lang w:eastAsia="zh-CN"/>
        </w:rPr>
        <w:t>年度计划</w:t>
      </w:r>
    </w:p>
    <w:p w14:paraId="76A984B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做好2024年工作，要坚持以习近平新时代中国特色社会主义思想为指导，全面贯彻落实党的二十大、二十届二中全会精神和二十届中央纪委三次全会、省十二届纪委四次全会部署，深入学习贯彻习近平总书记关于党的自我革命的重要思想，坚决贯彻全面从严治党战略方针，深刻领悟“两个确立”的决定性意义，自觉增强“四个意识”、坚定“四个自信”、做到“两个维护”，坚持稳中求进工作总基调，巩固拓展主题教育和教育整顿成果，推动健全全面从严治党体系，纵深推进正风肃纪反腐，纵深推进新征程纪检监察工作高质量发展，为全面建设社会主义现代化新湘潭提供坚强保障。</w:t>
      </w:r>
    </w:p>
    <w:p w14:paraId="1260E953">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4.</w:t>
      </w:r>
      <w:r>
        <w:rPr>
          <w:rFonts w:hint="eastAsia" w:ascii="方正仿宋_GBK" w:hAnsi="方正仿宋_GBK" w:eastAsia="方正仿宋_GBK" w:cs="方正仿宋_GBK"/>
          <w:b/>
          <w:bCs/>
          <w:color w:val="auto"/>
          <w:spacing w:val="-4"/>
          <w:sz w:val="32"/>
          <w:szCs w:val="32"/>
          <w:lang w:eastAsia="zh-CN"/>
        </w:rPr>
        <w:t>发展规划</w:t>
      </w:r>
    </w:p>
    <w:p w14:paraId="7544FCB8">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要坚持以习近平新时代中国特色社会主义思想为指导，全面贯彻落实党的二十大和二十届二中、三中全会精神，深入学习贯彻习近平总书记关于党的建设的重要思想、关于党的自我革命的重要思想和考察湖南重要讲话重要指示精神，认真贯彻落实中央纪委、省纪委全会部署和省委、市委工作要求，深刻领悟“两个确立”的决定性意义，增强“四个意识”、坚定“四个自信”、做到“两个维护”，坚持用改革精神和严的标准管党治党，推动落实全面从严治党政治责任，以开展“纪检监察工作规范化法治化正规化建设年”行动为抓手，着力建立健全监督一体化机制，纵深推进正风肃纪反腐，持续推进新时代新征程纪检监察工作高质量发展，为湘潭在进一步全面深化改革、奋力谱写中国式现代化湖南篇章中勇当先锋提供有力保障。</w:t>
      </w:r>
    </w:p>
    <w:p w14:paraId="4C25A3E5">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eastAsia="zh-CN"/>
        </w:rPr>
      </w:pPr>
      <w:r>
        <w:rPr>
          <w:rFonts w:hint="eastAsia" w:ascii="方正仿宋_GBK" w:hAnsi="方正仿宋_GBK" w:eastAsia="方正仿宋_GBK" w:cs="方正仿宋_GBK"/>
          <w:b/>
          <w:bCs/>
          <w:color w:val="auto"/>
          <w:spacing w:val="-4"/>
          <w:sz w:val="32"/>
          <w:szCs w:val="32"/>
          <w:lang w:val="en-US" w:eastAsia="zh-CN"/>
        </w:rPr>
        <w:t>5.</w:t>
      </w:r>
      <w:r>
        <w:rPr>
          <w:rFonts w:hint="eastAsia" w:ascii="方正仿宋_GBK" w:hAnsi="方正仿宋_GBK" w:eastAsia="方正仿宋_GBK" w:cs="方正仿宋_GBK"/>
          <w:b/>
          <w:bCs/>
          <w:color w:val="auto"/>
          <w:spacing w:val="-4"/>
          <w:sz w:val="32"/>
          <w:szCs w:val="32"/>
        </w:rPr>
        <w:t>年度预算</w:t>
      </w:r>
      <w:r>
        <w:rPr>
          <w:rFonts w:hint="eastAsia" w:ascii="方正仿宋_GBK" w:hAnsi="方正仿宋_GBK" w:eastAsia="方正仿宋_GBK" w:cs="方正仿宋_GBK"/>
          <w:b/>
          <w:bCs/>
          <w:color w:val="auto"/>
          <w:spacing w:val="-4"/>
          <w:sz w:val="32"/>
          <w:szCs w:val="32"/>
          <w:lang w:val="en-US" w:eastAsia="zh-CN"/>
        </w:rPr>
        <w:t>批复、调整以及</w:t>
      </w:r>
      <w:r>
        <w:rPr>
          <w:rFonts w:hint="eastAsia" w:ascii="方正仿宋_GBK" w:hAnsi="方正仿宋_GBK" w:eastAsia="方正仿宋_GBK" w:cs="方正仿宋_GBK"/>
          <w:b/>
          <w:bCs/>
          <w:color w:val="auto"/>
          <w:spacing w:val="-4"/>
          <w:sz w:val="32"/>
          <w:szCs w:val="32"/>
        </w:rPr>
        <w:t>执行情况</w:t>
      </w:r>
    </w:p>
    <w:p w14:paraId="26755C73">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default"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（1）</w:t>
      </w:r>
      <w:r>
        <w:rPr>
          <w:rFonts w:hint="eastAsia" w:ascii="方正仿宋_GBK" w:hAnsi="方正仿宋_GBK" w:eastAsia="方正仿宋_GBK" w:cs="方正仿宋_GBK"/>
          <w:b/>
          <w:bCs/>
          <w:color w:val="auto"/>
          <w:spacing w:val="-4"/>
          <w:sz w:val="32"/>
          <w:szCs w:val="32"/>
        </w:rPr>
        <w:t>年度预算</w:t>
      </w:r>
      <w:r>
        <w:rPr>
          <w:rFonts w:hint="eastAsia" w:ascii="方正仿宋_GBK" w:hAnsi="方正仿宋_GBK" w:eastAsia="方正仿宋_GBK" w:cs="方正仿宋_GBK"/>
          <w:b/>
          <w:bCs/>
          <w:color w:val="auto"/>
          <w:spacing w:val="-4"/>
          <w:sz w:val="32"/>
          <w:szCs w:val="32"/>
          <w:lang w:val="en-US" w:eastAsia="zh-CN"/>
        </w:rPr>
        <w:t>批复、调整情况</w:t>
      </w:r>
    </w:p>
    <w:p w14:paraId="2B063026">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2024年我委年初预算3956.37万元，实有资金年初结转结余41.50万元；年中追加800万元工作经费、6万元医疗补助经费，本级横向转拨财政款收入3.4万元，实有资金基本户其他收入13.83万元，年中调整指标345.79万元。</w:t>
      </w:r>
    </w:p>
    <w:p w14:paraId="144B9DC3">
      <w:pPr>
        <w:pStyle w:val="8"/>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lang w:val="en-US" w:eastAsia="zh-CN"/>
        </w:rPr>
        <w:t>预算</w:t>
      </w:r>
      <w:r>
        <w:rPr>
          <w:rFonts w:hint="eastAsia" w:ascii="方正仿宋_GBK" w:hAnsi="方正仿宋_GBK" w:eastAsia="方正仿宋_GBK" w:cs="方正仿宋_GBK"/>
          <w:b/>
          <w:bCs/>
          <w:color w:val="auto"/>
          <w:spacing w:val="-4"/>
          <w:sz w:val="32"/>
          <w:szCs w:val="32"/>
        </w:rPr>
        <w:t>执行情况</w:t>
      </w:r>
    </w:p>
    <w:p w14:paraId="0752110E">
      <w:pPr>
        <w:pStyle w:val="8"/>
        <w:keepNext w:val="0"/>
        <w:keepLines w:val="0"/>
        <w:pageBreakBefore w:val="0"/>
        <w:widowControl w:val="0"/>
        <w:numPr>
          <w:numId w:val="0"/>
        </w:numPr>
        <w:kinsoku/>
        <w:wordWrap/>
        <w:overflowPunct/>
        <w:topLinePunct w:val="0"/>
        <w:autoSpaceDE/>
        <w:autoSpaceDN/>
        <w:bidi w:val="0"/>
        <w:adjustRightInd/>
        <w:snapToGrid/>
        <w:spacing w:line="600" w:lineRule="exact"/>
        <w:ind w:firstLine="627" w:firstLineChars="200"/>
        <w:textAlignment w:val="auto"/>
        <w:rPr>
          <w:rFonts w:hint="default"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2024年</w:t>
      </w:r>
      <w:r>
        <w:rPr>
          <w:rFonts w:hint="eastAsia" w:ascii="方正仿宋_GBK" w:hAnsi="方正仿宋_GBK" w:eastAsia="方正仿宋_GBK" w:cs="方正仿宋_GBK"/>
          <w:b/>
          <w:bCs/>
          <w:color w:val="auto"/>
          <w:spacing w:val="-4"/>
          <w:sz w:val="32"/>
          <w:szCs w:val="32"/>
          <w:lang w:val="en-US" w:eastAsia="zh-CN"/>
        </w:rPr>
        <w:t>一般公共预算财政拨款收入共4951.94万元，全年执行数4936.83万元，执行率99.69%。</w:t>
      </w:r>
    </w:p>
    <w:p w14:paraId="0731F8BA">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楷体_GBK" w:hAnsi="方正楷体_GBK" w:eastAsia="方正楷体_GBK" w:cs="方正楷体_GBK"/>
          <w:b/>
          <w:bCs/>
          <w:color w:val="auto"/>
          <w:spacing w:val="-4"/>
          <w:kern w:val="2"/>
          <w:sz w:val="32"/>
          <w:szCs w:val="32"/>
          <w:lang w:val="en-US" w:eastAsia="zh-CN" w:bidi="ar-SA"/>
        </w:rPr>
      </w:pPr>
      <w:r>
        <w:rPr>
          <w:rFonts w:hint="eastAsia" w:ascii="方正楷体_GBK" w:hAnsi="方正楷体_GBK" w:eastAsia="方正楷体_GBK" w:cs="方正楷体_GBK"/>
          <w:b/>
          <w:bCs/>
          <w:color w:val="auto"/>
          <w:spacing w:val="-4"/>
          <w:kern w:val="2"/>
          <w:sz w:val="32"/>
          <w:szCs w:val="32"/>
          <w:lang w:val="en-US" w:eastAsia="zh-CN" w:bidi="ar-SA"/>
        </w:rPr>
        <w:t>（二）部门年度整体支出绩效目标</w:t>
      </w:r>
    </w:p>
    <w:p w14:paraId="66BA2E0E">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在2024年收支预算内，确保完成以下整体目标：</w:t>
      </w:r>
    </w:p>
    <w:p w14:paraId="2D1FB71F">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1.落实监督执纪任务100%</w:t>
      </w:r>
    </w:p>
    <w:p w14:paraId="3644E51D">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2.深挖彻查腐败问题，审查调查专案布置任务执行率100%</w:t>
      </w:r>
    </w:p>
    <w:p w14:paraId="0A251BFE">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3.持续纠“四风”树新风，“落实四风监督检查任务100%</w:t>
      </w:r>
    </w:p>
    <w:p w14:paraId="5FB81177">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4.加快推进清廉建设，宣传任务执行率100%</w:t>
      </w:r>
    </w:p>
    <w:p w14:paraId="5031CCD4">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5.完成培训任务，提升队伍素质</w:t>
      </w:r>
    </w:p>
    <w:p w14:paraId="17A7260D">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详情见附件2</w:t>
      </w:r>
      <w:r>
        <w:rPr>
          <w:rFonts w:hint="eastAsia" w:ascii="方正仿宋_GBK" w:hAnsi="方正仿宋_GBK" w:eastAsia="方正仿宋_GBK" w:cs="方正仿宋_GBK"/>
          <w:b/>
          <w:bCs/>
          <w:color w:val="auto"/>
          <w:spacing w:val="-4"/>
          <w:sz w:val="32"/>
          <w:szCs w:val="32"/>
        </w:rPr>
        <w:t>部门整体支出绩效自评表</w:t>
      </w:r>
      <w:r>
        <w:rPr>
          <w:rFonts w:hint="eastAsia" w:ascii="方正仿宋_GBK" w:hAnsi="方正仿宋_GBK" w:eastAsia="方正仿宋_GBK" w:cs="方正仿宋_GBK"/>
          <w:b/>
          <w:bCs/>
          <w:color w:val="auto"/>
          <w:spacing w:val="-4"/>
          <w:sz w:val="32"/>
          <w:szCs w:val="32"/>
          <w:lang w:eastAsia="zh-CN"/>
        </w:rPr>
        <w:t>。</w:t>
      </w:r>
    </w:p>
    <w:p w14:paraId="00F20C50">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黑体_GBK" w:hAnsi="方正黑体_GBK" w:eastAsia="方正黑体_GBK" w:cs="方正黑体_GBK"/>
          <w:b/>
          <w:bCs/>
          <w:color w:val="auto"/>
          <w:spacing w:val="-4"/>
          <w:sz w:val="32"/>
          <w:szCs w:val="32"/>
        </w:rPr>
      </w:pPr>
      <w:r>
        <w:rPr>
          <w:rFonts w:hint="eastAsia" w:ascii="方正黑体_GBK" w:hAnsi="方正黑体_GBK" w:eastAsia="方正黑体_GBK" w:cs="方正黑体_GBK"/>
          <w:b/>
          <w:bCs/>
          <w:color w:val="auto"/>
          <w:spacing w:val="-4"/>
          <w:sz w:val="32"/>
          <w:szCs w:val="32"/>
          <w:lang w:eastAsia="zh-CN"/>
        </w:rPr>
        <w:t>二</w:t>
      </w:r>
      <w:r>
        <w:rPr>
          <w:rFonts w:hint="eastAsia" w:ascii="方正黑体_GBK" w:hAnsi="方正黑体_GBK" w:eastAsia="方正黑体_GBK" w:cs="方正黑体_GBK"/>
          <w:b/>
          <w:bCs/>
          <w:color w:val="auto"/>
          <w:spacing w:val="-4"/>
          <w:sz w:val="32"/>
          <w:szCs w:val="32"/>
        </w:rPr>
        <w:t>、一般公共预算支出情况</w:t>
      </w:r>
    </w:p>
    <w:p w14:paraId="004B1E91">
      <w:pPr>
        <w:pStyle w:val="8"/>
        <w:keepNext w:val="0"/>
        <w:keepLines w:val="0"/>
        <w:pageBreakBefore w:val="0"/>
        <w:widowControl w:val="0"/>
        <w:kinsoku/>
        <w:wordWrap/>
        <w:overflowPunct/>
        <w:topLinePunct w:val="0"/>
        <w:autoSpaceDE/>
        <w:autoSpaceDN/>
        <w:bidi w:val="0"/>
        <w:adjustRightInd/>
        <w:spacing w:line="600" w:lineRule="exact"/>
        <w:ind w:firstLine="643"/>
        <w:textAlignment w:val="auto"/>
        <w:rPr>
          <w:rFonts w:hint="eastAsia" w:ascii="方正楷体_GBK" w:hAnsi="方正楷体_GBK" w:eastAsia="方正楷体_GBK" w:cs="方正楷体_GBK"/>
          <w:b/>
          <w:bCs/>
          <w:color w:val="auto"/>
          <w:spacing w:val="-4"/>
          <w:sz w:val="32"/>
          <w:szCs w:val="32"/>
        </w:rPr>
      </w:pPr>
      <w:r>
        <w:rPr>
          <w:rFonts w:hint="eastAsia" w:ascii="方正楷体_GBK" w:hAnsi="方正楷体_GBK" w:eastAsia="方正楷体_GBK" w:cs="方正楷体_GBK"/>
          <w:b/>
          <w:bCs/>
          <w:color w:val="auto"/>
          <w:spacing w:val="-4"/>
          <w:sz w:val="32"/>
          <w:szCs w:val="32"/>
        </w:rPr>
        <w:t>（一）基本支出情况</w:t>
      </w:r>
    </w:p>
    <w:p w14:paraId="14D78EE7">
      <w:pPr>
        <w:pStyle w:val="8"/>
        <w:keepNext w:val="0"/>
        <w:keepLines w:val="0"/>
        <w:pageBreakBefore w:val="0"/>
        <w:widowControl w:val="0"/>
        <w:kinsoku/>
        <w:wordWrap/>
        <w:overflowPunct/>
        <w:topLinePunct w:val="0"/>
        <w:autoSpaceDE/>
        <w:autoSpaceDN/>
        <w:bidi w:val="0"/>
        <w:adjustRightInd/>
        <w:spacing w:line="600" w:lineRule="exact"/>
        <w:ind w:firstLine="643"/>
        <w:textAlignment w:val="auto"/>
        <w:rPr>
          <w:rFonts w:hint="default"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rPr>
        <w:t>2024年一般公共预算财政拨款收入</w:t>
      </w:r>
      <w:r>
        <w:rPr>
          <w:rFonts w:hint="eastAsia" w:ascii="方正仿宋_GBK" w:hAnsi="方正仿宋_GBK" w:eastAsia="方正仿宋_GBK" w:cs="方正仿宋_GBK"/>
          <w:b/>
          <w:bCs/>
          <w:color w:val="auto"/>
          <w:spacing w:val="-4"/>
          <w:sz w:val="32"/>
          <w:szCs w:val="32"/>
          <w:lang w:val="en-US" w:eastAsia="zh-CN"/>
        </w:rPr>
        <w:t>中基本支出年初预算2428.76万元，其中人员经费1994.32万元、公用经费434.44万元；</w:t>
      </w:r>
      <w:r>
        <w:rPr>
          <w:rFonts w:hint="eastAsia" w:ascii="方正仿宋_GBK" w:hAnsi="方正仿宋_GBK" w:eastAsia="方正仿宋_GBK" w:cs="方正仿宋_GBK"/>
          <w:b/>
          <w:bCs/>
          <w:color w:val="auto"/>
          <w:spacing w:val="-4"/>
          <w:sz w:val="32"/>
          <w:szCs w:val="32"/>
        </w:rPr>
        <w:t>一般公共预算财政拨款收入</w:t>
      </w:r>
      <w:r>
        <w:rPr>
          <w:rFonts w:hint="eastAsia" w:ascii="方正仿宋_GBK" w:hAnsi="方正仿宋_GBK" w:eastAsia="方正仿宋_GBK" w:cs="方正仿宋_GBK"/>
          <w:b/>
          <w:bCs/>
          <w:color w:val="auto"/>
          <w:spacing w:val="-4"/>
          <w:sz w:val="32"/>
          <w:szCs w:val="32"/>
          <w:lang w:val="en-US" w:eastAsia="zh-CN"/>
        </w:rPr>
        <w:t>中基本支出全年预算数为</w:t>
      </w:r>
      <w:r>
        <w:rPr>
          <w:rFonts w:hint="eastAsia" w:ascii="方正仿宋_GBK" w:hAnsi="方正仿宋_GBK" w:eastAsia="方正仿宋_GBK" w:cs="方正仿宋_GBK"/>
          <w:b/>
          <w:bCs/>
          <w:color w:val="auto"/>
          <w:spacing w:val="-4"/>
          <w:sz w:val="32"/>
          <w:szCs w:val="32"/>
          <w:lang w:val="en-US" w:eastAsia="zh-CN"/>
        </w:rPr>
        <w:t>2769.95万元，其中人员经费2273.08万元、公用经费496.87万元；</w:t>
      </w:r>
      <w:r>
        <w:rPr>
          <w:rFonts w:hint="eastAsia" w:ascii="方正仿宋_GBK" w:hAnsi="方正仿宋_GBK" w:eastAsia="方正仿宋_GBK" w:cs="方正仿宋_GBK"/>
          <w:b/>
          <w:bCs/>
          <w:color w:val="auto"/>
          <w:spacing w:val="-4"/>
          <w:sz w:val="32"/>
          <w:szCs w:val="32"/>
        </w:rPr>
        <w:t>一般公共预算财政拨款收入</w:t>
      </w:r>
      <w:r>
        <w:rPr>
          <w:rFonts w:hint="eastAsia" w:ascii="方正仿宋_GBK" w:hAnsi="方正仿宋_GBK" w:eastAsia="方正仿宋_GBK" w:cs="方正仿宋_GBK"/>
          <w:b/>
          <w:bCs/>
          <w:color w:val="auto"/>
          <w:spacing w:val="-4"/>
          <w:sz w:val="32"/>
          <w:szCs w:val="32"/>
          <w:lang w:val="en-US" w:eastAsia="zh-CN"/>
        </w:rPr>
        <w:t>中基本支出全年决算数为2760.11万元，其中人员经费2273.08万元、公用经费487.03万元。</w:t>
      </w:r>
    </w:p>
    <w:p w14:paraId="717F0E19">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楷体_GBK" w:hAnsi="方正楷体_GBK" w:eastAsia="方正楷体_GBK" w:cs="方正楷体_GBK"/>
          <w:b/>
          <w:bCs/>
          <w:spacing w:val="-4"/>
          <w:kern w:val="0"/>
          <w:sz w:val="32"/>
          <w:szCs w:val="32"/>
          <w:shd w:val="clear" w:color="auto" w:fill="FFFFFF"/>
        </w:rPr>
      </w:pPr>
      <w:r>
        <w:rPr>
          <w:rFonts w:hint="eastAsia" w:ascii="方正楷体_GBK" w:hAnsi="方正楷体_GBK" w:eastAsia="方正楷体_GBK" w:cs="方正楷体_GBK"/>
          <w:b/>
          <w:bCs/>
          <w:spacing w:val="-4"/>
          <w:kern w:val="0"/>
          <w:sz w:val="32"/>
          <w:szCs w:val="32"/>
          <w:shd w:val="clear" w:color="auto" w:fill="FFFFFF"/>
        </w:rPr>
        <w:t>（二）</w:t>
      </w:r>
      <w:r>
        <w:rPr>
          <w:rFonts w:hint="eastAsia" w:ascii="方正楷体_GBK" w:hAnsi="方正楷体_GBK" w:eastAsia="方正楷体_GBK" w:cs="方正楷体_GBK"/>
          <w:b/>
          <w:bCs/>
          <w:spacing w:val="-4"/>
          <w:kern w:val="0"/>
          <w:sz w:val="32"/>
          <w:szCs w:val="32"/>
          <w:shd w:val="clear" w:color="auto" w:fill="FFFFFF"/>
          <w:lang w:eastAsia="zh-CN"/>
        </w:rPr>
        <w:t>部门预算中</w:t>
      </w:r>
      <w:r>
        <w:rPr>
          <w:rFonts w:hint="eastAsia" w:ascii="方正楷体_GBK" w:hAnsi="方正楷体_GBK" w:eastAsia="方正楷体_GBK" w:cs="方正楷体_GBK"/>
          <w:b/>
          <w:bCs/>
          <w:color w:val="auto"/>
          <w:spacing w:val="-4"/>
          <w:kern w:val="2"/>
          <w:sz w:val="32"/>
          <w:szCs w:val="32"/>
          <w:lang w:val="en-US" w:eastAsia="zh-CN" w:bidi="ar-SA"/>
        </w:rPr>
        <w:t>项目支出情况</w:t>
      </w:r>
    </w:p>
    <w:p w14:paraId="473446D0">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1.目标一“落实监督执纪任务100%”预算执行情况</w:t>
      </w:r>
    </w:p>
    <w:p w14:paraId="2018E5C3">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 xml:space="preserve">  为完成该目标主要支出项目为监督执纪监察工作项目，该项目年初预算数416万元，全年预算数</w:t>
      </w:r>
      <w:r>
        <w:rPr>
          <w:rFonts w:hint="eastAsia" w:ascii="方正仿宋_GBK" w:hAnsi="方正仿宋_GBK" w:eastAsia="方正仿宋_GBK" w:cs="方正仿宋_GBK"/>
          <w:b/>
          <w:bCs/>
          <w:color w:val="auto"/>
          <w:spacing w:val="-4"/>
          <w:kern w:val="2"/>
          <w:sz w:val="32"/>
          <w:szCs w:val="32"/>
          <w:lang w:val="en-US" w:eastAsia="zh-CN" w:bidi="ar-SA"/>
        </w:rPr>
        <w:t>758.72</w:t>
      </w:r>
      <w:r>
        <w:rPr>
          <w:rFonts w:hint="eastAsia" w:ascii="方正仿宋_GBK" w:hAnsi="方正仿宋_GBK" w:eastAsia="方正仿宋_GBK" w:cs="方正仿宋_GBK"/>
          <w:b/>
          <w:bCs/>
          <w:color w:val="auto"/>
          <w:spacing w:val="-4"/>
          <w:kern w:val="2"/>
          <w:sz w:val="32"/>
          <w:szCs w:val="32"/>
          <w:lang w:val="en-US" w:eastAsia="zh-CN" w:bidi="ar-SA"/>
        </w:rPr>
        <w:t>万元，全年预算执行数758.72万元；其中大额支出为办公费28.21万元、差旅费108.46万元、维护费30.43万元、委托业务费59.85万元（咨询费、鉴定费等）、办案补助经费224.77万元、办案设备购置费93.28万元。</w:t>
      </w:r>
    </w:p>
    <w:p w14:paraId="19C34F97">
      <w:pPr>
        <w:pStyle w:val="2"/>
        <w:keepNext w:val="0"/>
        <w:keepLines w:val="0"/>
        <w:pageBreakBefore w:val="0"/>
        <w:widowControl w:val="0"/>
        <w:numPr>
          <w:numId w:val="0"/>
        </w:numPr>
        <w:kinsoku/>
        <w:wordWrap/>
        <w:overflowPunct/>
        <w:topLinePunct w:val="0"/>
        <w:autoSpaceDE/>
        <w:autoSpaceDN/>
        <w:bidi w:val="0"/>
        <w:adjustRightInd/>
        <w:snapToGrid w:val="0"/>
        <w:spacing w:line="600" w:lineRule="exact"/>
        <w:ind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2.目标二“深挖彻查腐败问题，审查调查专案布置任务执行率100%”预算执行情况</w:t>
      </w:r>
    </w:p>
    <w:p w14:paraId="3C99B104">
      <w:pPr>
        <w:pStyle w:val="2"/>
        <w:keepNext w:val="0"/>
        <w:keepLines w:val="0"/>
        <w:pageBreakBefore w:val="0"/>
        <w:widowControl w:val="0"/>
        <w:numPr>
          <w:numId w:val="0"/>
        </w:numPr>
        <w:kinsoku/>
        <w:wordWrap/>
        <w:overflowPunct/>
        <w:topLinePunct w:val="0"/>
        <w:autoSpaceDE/>
        <w:autoSpaceDN/>
        <w:bidi w:val="0"/>
        <w:adjustRightInd/>
        <w:snapToGrid w:val="0"/>
        <w:spacing w:line="600" w:lineRule="exact"/>
        <w:textAlignment w:val="auto"/>
        <w:rPr>
          <w:rFonts w:hint="default"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 xml:space="preserve">    </w:t>
      </w:r>
      <w:r>
        <w:rPr>
          <w:rFonts w:hint="eastAsia" w:ascii="方正仿宋_GBK" w:hAnsi="方正仿宋_GBK" w:eastAsia="方正仿宋_GBK" w:cs="方正仿宋_GBK"/>
          <w:b/>
          <w:bCs/>
          <w:color w:val="auto"/>
          <w:spacing w:val="-4"/>
          <w:kern w:val="2"/>
          <w:sz w:val="32"/>
          <w:szCs w:val="32"/>
          <w:lang w:val="en-US" w:eastAsia="zh-CN" w:bidi="ar-SA"/>
        </w:rPr>
        <w:t>为完成该目标主要支出项目为廉政教育基地经费项目，年初预算数868.39万元，全年预算数1218万元，全年预算执行数1218万元，主要用于留置场所的运转开支。</w:t>
      </w:r>
    </w:p>
    <w:p w14:paraId="04EC38B3">
      <w:pPr>
        <w:pStyle w:val="2"/>
        <w:keepNext w:val="0"/>
        <w:keepLines w:val="0"/>
        <w:pageBreakBefore w:val="0"/>
        <w:widowControl w:val="0"/>
        <w:numPr>
          <w:numId w:val="0"/>
        </w:numPr>
        <w:kinsoku/>
        <w:wordWrap/>
        <w:overflowPunct/>
        <w:topLinePunct w:val="0"/>
        <w:autoSpaceDE/>
        <w:autoSpaceDN/>
        <w:bidi w:val="0"/>
        <w:adjustRightInd/>
        <w:snapToGrid w:val="0"/>
        <w:spacing w:line="600" w:lineRule="exact"/>
        <w:ind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3.目标三“持续纠四风树新风，落实四风监督检查任务100%”预算执行情况</w:t>
      </w:r>
    </w:p>
    <w:p w14:paraId="1F43DED5">
      <w:pPr>
        <w:pStyle w:val="2"/>
        <w:keepNext w:val="0"/>
        <w:keepLines w:val="0"/>
        <w:pageBreakBefore w:val="0"/>
        <w:widowControl w:val="0"/>
        <w:kinsoku/>
        <w:wordWrap/>
        <w:overflowPunct/>
        <w:topLinePunct w:val="0"/>
        <w:autoSpaceDE/>
        <w:autoSpaceDN/>
        <w:bidi w:val="0"/>
        <w:adjustRightInd/>
        <w:spacing w:line="600" w:lineRule="exact"/>
        <w:textAlignment w:val="auto"/>
        <w:rPr>
          <w:rFonts w:hint="default"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 xml:space="preserve">   </w:t>
      </w:r>
      <w:r>
        <w:rPr>
          <w:rFonts w:hint="eastAsia" w:ascii="方正仿宋_GBK" w:hAnsi="方正仿宋_GBK" w:eastAsia="方正仿宋_GBK" w:cs="方正仿宋_GBK"/>
          <w:b/>
          <w:bCs/>
          <w:color w:val="auto"/>
          <w:spacing w:val="-4"/>
          <w:kern w:val="2"/>
          <w:sz w:val="32"/>
          <w:szCs w:val="32"/>
          <w:lang w:val="en-US" w:eastAsia="zh-CN" w:bidi="ar-SA"/>
        </w:rPr>
        <w:t>为完成该目标主要支出为党风廉政建设专项、“金纪工程”建设专项、信访工作专项、信息工作专项等项目支出，该4项项目年初预算数40万元，全年预算数87.68万元，全年预算执行数87.68万元；其中大额支出为办公费4.51万元、差旅费5.26万元、维护费34.65万元、办公设备购置费21.66万元。</w:t>
      </w:r>
    </w:p>
    <w:p w14:paraId="7BF9C1A7">
      <w:pPr>
        <w:pStyle w:val="2"/>
        <w:keepNext w:val="0"/>
        <w:keepLines w:val="0"/>
        <w:pageBreakBefore w:val="0"/>
        <w:widowControl w:val="0"/>
        <w:numPr>
          <w:numId w:val="0"/>
        </w:numPr>
        <w:kinsoku/>
        <w:wordWrap/>
        <w:overflowPunct/>
        <w:topLinePunct w:val="0"/>
        <w:autoSpaceDE/>
        <w:autoSpaceDN/>
        <w:bidi w:val="0"/>
        <w:adjustRightInd/>
        <w:snapToGrid w:val="0"/>
        <w:spacing w:line="600" w:lineRule="exact"/>
        <w:ind w:firstLine="627" w:firstLineChars="200"/>
        <w:textAlignment w:val="auto"/>
        <w:rPr>
          <w:rFonts w:hint="default"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4.</w:t>
      </w:r>
      <w:r>
        <w:rPr>
          <w:rFonts w:hint="default" w:ascii="方正仿宋_GBK" w:hAnsi="方正仿宋_GBK" w:eastAsia="方正仿宋_GBK" w:cs="方正仿宋_GBK"/>
          <w:b/>
          <w:bCs/>
          <w:color w:val="auto"/>
          <w:spacing w:val="-4"/>
          <w:kern w:val="2"/>
          <w:sz w:val="32"/>
          <w:szCs w:val="32"/>
          <w:lang w:val="en-US" w:eastAsia="zh-CN" w:bidi="ar-SA"/>
        </w:rPr>
        <w:t>目标</w:t>
      </w:r>
      <w:r>
        <w:rPr>
          <w:rFonts w:hint="eastAsia" w:ascii="方正仿宋_GBK" w:hAnsi="方正仿宋_GBK" w:eastAsia="方正仿宋_GBK" w:cs="方正仿宋_GBK"/>
          <w:b/>
          <w:bCs/>
          <w:color w:val="auto"/>
          <w:spacing w:val="-4"/>
          <w:kern w:val="2"/>
          <w:sz w:val="32"/>
          <w:szCs w:val="32"/>
          <w:lang w:val="en-US" w:eastAsia="zh-CN" w:bidi="ar-SA"/>
        </w:rPr>
        <w:t>四</w:t>
      </w:r>
      <w:r>
        <w:rPr>
          <w:rFonts w:hint="default" w:ascii="方正仿宋_GBK" w:hAnsi="方正仿宋_GBK" w:eastAsia="方正仿宋_GBK" w:cs="方正仿宋_GBK"/>
          <w:b/>
          <w:bCs/>
          <w:color w:val="auto"/>
          <w:spacing w:val="-4"/>
          <w:kern w:val="2"/>
          <w:sz w:val="32"/>
          <w:szCs w:val="32"/>
          <w:lang w:val="en-US" w:eastAsia="zh-CN" w:bidi="ar-SA"/>
        </w:rPr>
        <w:t>“加快推进清廉建设，宣传任务执行率100%”预算执行情况</w:t>
      </w:r>
    </w:p>
    <w:p w14:paraId="104842AE">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 xml:space="preserve">  </w:t>
      </w:r>
      <w:r>
        <w:rPr>
          <w:rFonts w:hint="eastAsia" w:ascii="方正仿宋_GBK" w:hAnsi="方正仿宋_GBK" w:eastAsia="方正仿宋_GBK" w:cs="方正仿宋_GBK"/>
          <w:b/>
          <w:bCs/>
          <w:color w:val="auto"/>
          <w:spacing w:val="-4"/>
          <w:kern w:val="2"/>
          <w:sz w:val="32"/>
          <w:szCs w:val="32"/>
          <w:lang w:val="en-US" w:eastAsia="zh-CN" w:bidi="ar-SA"/>
        </w:rPr>
        <w:t>为完成该目标主要支出项目为宣教工作专项，该项目年初预算数101.22万元，全年预算数101.22万元，全年预算执行数100.86万元；其中大额支出为委托业务费96.6万元（门户网站运维、微信公众号运维、廉政教育警示片制作等业务费用）。</w:t>
      </w:r>
    </w:p>
    <w:p w14:paraId="2FEB4F2A">
      <w:pPr>
        <w:pStyle w:val="2"/>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7" w:firstLineChars="200"/>
        <w:textAlignment w:val="auto"/>
        <w:rPr>
          <w:rFonts w:hint="default"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5.</w:t>
      </w:r>
      <w:r>
        <w:rPr>
          <w:rFonts w:hint="default" w:ascii="方正仿宋_GBK" w:hAnsi="方正仿宋_GBK" w:eastAsia="方正仿宋_GBK" w:cs="方正仿宋_GBK"/>
          <w:b/>
          <w:bCs/>
          <w:color w:val="auto"/>
          <w:spacing w:val="-4"/>
          <w:kern w:val="2"/>
          <w:sz w:val="32"/>
          <w:szCs w:val="32"/>
          <w:lang w:val="en-US" w:eastAsia="zh-CN" w:bidi="ar-SA"/>
        </w:rPr>
        <w:t>目标</w:t>
      </w:r>
      <w:r>
        <w:rPr>
          <w:rFonts w:hint="eastAsia" w:ascii="方正仿宋_GBK" w:hAnsi="方正仿宋_GBK" w:eastAsia="方正仿宋_GBK" w:cs="方正仿宋_GBK"/>
          <w:b/>
          <w:bCs/>
          <w:color w:val="auto"/>
          <w:spacing w:val="-4"/>
          <w:kern w:val="2"/>
          <w:sz w:val="32"/>
          <w:szCs w:val="32"/>
          <w:lang w:val="en-US" w:eastAsia="zh-CN" w:bidi="ar-SA"/>
        </w:rPr>
        <w:t>五</w:t>
      </w:r>
      <w:r>
        <w:rPr>
          <w:rFonts w:hint="default" w:ascii="方正仿宋_GBK" w:hAnsi="方正仿宋_GBK" w:eastAsia="方正仿宋_GBK" w:cs="方正仿宋_GBK"/>
          <w:b/>
          <w:bCs/>
          <w:color w:val="auto"/>
          <w:spacing w:val="-4"/>
          <w:kern w:val="2"/>
          <w:sz w:val="32"/>
          <w:szCs w:val="32"/>
          <w:lang w:val="en-US" w:eastAsia="zh-CN" w:bidi="ar-SA"/>
        </w:rPr>
        <w:t>“完成培训任务，提升队伍素质”预算执行情况</w:t>
      </w:r>
    </w:p>
    <w:p w14:paraId="5FDF1EC8">
      <w:pPr>
        <w:pStyle w:val="2"/>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为完成该目标主要支出项目为组织工作专项，该项目年初预算数50万元，全年预算数50万元，全年预算执行数26.56万元；其中大额支出为培训费17.28万元。</w:t>
      </w:r>
    </w:p>
    <w:p w14:paraId="3B4BA63D">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黑体_GBK" w:hAnsi="方正黑体_GBK" w:eastAsia="方正黑体_GBK" w:cs="方正黑体_GBK"/>
          <w:b/>
          <w:bCs/>
          <w:color w:val="auto"/>
          <w:spacing w:val="-4"/>
          <w:kern w:val="2"/>
          <w:sz w:val="32"/>
          <w:szCs w:val="32"/>
          <w:lang w:val="en-US" w:eastAsia="zh-CN" w:bidi="ar-SA"/>
        </w:rPr>
      </w:pPr>
      <w:r>
        <w:rPr>
          <w:rFonts w:hint="eastAsia" w:ascii="方正黑体_GBK" w:hAnsi="方正黑体_GBK" w:eastAsia="方正黑体_GBK" w:cs="方正黑体_GBK"/>
          <w:b/>
          <w:bCs/>
          <w:color w:val="auto"/>
          <w:spacing w:val="-4"/>
          <w:kern w:val="2"/>
          <w:sz w:val="32"/>
          <w:szCs w:val="32"/>
          <w:lang w:val="en-US" w:eastAsia="zh-CN" w:bidi="ar-SA"/>
        </w:rPr>
        <w:t>三、政府性基金预算支出情况</w:t>
      </w:r>
    </w:p>
    <w:p w14:paraId="7CCCCABC">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无</w:t>
      </w:r>
      <w:r>
        <w:rPr>
          <w:rFonts w:hint="eastAsia" w:ascii="方正仿宋_GBK" w:hAnsi="方正仿宋_GBK" w:eastAsia="方正仿宋_GBK" w:cs="方正仿宋_GBK"/>
          <w:b/>
          <w:bCs/>
          <w:color w:val="auto"/>
          <w:spacing w:val="-4"/>
          <w:sz w:val="32"/>
          <w:szCs w:val="32"/>
        </w:rPr>
        <w:t>政府性基金预算</w:t>
      </w:r>
      <w:r>
        <w:rPr>
          <w:rFonts w:hint="eastAsia" w:ascii="方正仿宋_GBK" w:hAnsi="方正仿宋_GBK" w:eastAsia="方正仿宋_GBK" w:cs="方正仿宋_GBK"/>
          <w:b/>
          <w:bCs/>
          <w:color w:val="auto"/>
          <w:spacing w:val="-4"/>
          <w:sz w:val="32"/>
          <w:szCs w:val="32"/>
          <w:lang w:val="en-US" w:eastAsia="zh-CN"/>
        </w:rPr>
        <w:t>收入、</w:t>
      </w:r>
      <w:r>
        <w:rPr>
          <w:rFonts w:hint="eastAsia" w:ascii="方正仿宋_GBK" w:hAnsi="方正仿宋_GBK" w:eastAsia="方正仿宋_GBK" w:cs="方正仿宋_GBK"/>
          <w:b/>
          <w:bCs/>
          <w:color w:val="auto"/>
          <w:spacing w:val="-4"/>
          <w:sz w:val="32"/>
          <w:szCs w:val="32"/>
        </w:rPr>
        <w:t>支出</w:t>
      </w:r>
      <w:r>
        <w:rPr>
          <w:rFonts w:hint="eastAsia" w:ascii="方正仿宋_GBK" w:hAnsi="方正仿宋_GBK" w:eastAsia="方正仿宋_GBK" w:cs="方正仿宋_GBK"/>
          <w:b/>
          <w:bCs/>
          <w:color w:val="auto"/>
          <w:spacing w:val="-4"/>
          <w:sz w:val="32"/>
          <w:szCs w:val="32"/>
          <w:lang w:eastAsia="zh-CN"/>
        </w:rPr>
        <w:t>。</w:t>
      </w:r>
    </w:p>
    <w:p w14:paraId="0DF62CB4">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黑体_GBK" w:hAnsi="方正黑体_GBK" w:eastAsia="方正黑体_GBK" w:cs="方正黑体_GBK"/>
          <w:b/>
          <w:bCs/>
          <w:color w:val="auto"/>
          <w:spacing w:val="-4"/>
          <w:kern w:val="2"/>
          <w:sz w:val="32"/>
          <w:szCs w:val="32"/>
          <w:lang w:val="en-US" w:eastAsia="zh-CN" w:bidi="ar-SA"/>
        </w:rPr>
      </w:pPr>
      <w:r>
        <w:rPr>
          <w:rFonts w:hint="eastAsia" w:ascii="方正黑体_GBK" w:hAnsi="方正黑体_GBK" w:eastAsia="方正黑体_GBK" w:cs="方正黑体_GBK"/>
          <w:b/>
          <w:bCs/>
          <w:color w:val="auto"/>
          <w:spacing w:val="-4"/>
          <w:kern w:val="2"/>
          <w:sz w:val="32"/>
          <w:szCs w:val="32"/>
          <w:lang w:val="en-US" w:eastAsia="zh-CN" w:bidi="ar-SA"/>
        </w:rPr>
        <w:t>四、国有资本经营预算支出情况</w:t>
      </w:r>
    </w:p>
    <w:p w14:paraId="0E51097D">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sz w:val="32"/>
          <w:szCs w:val="32"/>
          <w:lang w:val="en-US" w:eastAsia="zh-CN"/>
        </w:rPr>
        <w:t>无</w:t>
      </w:r>
      <w:r>
        <w:rPr>
          <w:rFonts w:hint="eastAsia" w:ascii="方正仿宋_GBK" w:hAnsi="方正仿宋_GBK" w:eastAsia="方正仿宋_GBK" w:cs="方正仿宋_GBK"/>
          <w:b/>
          <w:bCs/>
          <w:color w:val="auto"/>
          <w:spacing w:val="-4"/>
          <w:sz w:val="32"/>
          <w:szCs w:val="32"/>
        </w:rPr>
        <w:t>国有资本经营预算</w:t>
      </w:r>
      <w:r>
        <w:rPr>
          <w:rFonts w:hint="eastAsia" w:ascii="方正仿宋_GBK" w:hAnsi="方正仿宋_GBK" w:eastAsia="方正仿宋_GBK" w:cs="方正仿宋_GBK"/>
          <w:b/>
          <w:bCs/>
          <w:color w:val="auto"/>
          <w:spacing w:val="-4"/>
          <w:sz w:val="32"/>
          <w:szCs w:val="32"/>
          <w:lang w:val="en-US" w:eastAsia="zh-CN"/>
        </w:rPr>
        <w:t>收入、</w:t>
      </w:r>
      <w:r>
        <w:rPr>
          <w:rFonts w:hint="eastAsia" w:ascii="方正仿宋_GBK" w:hAnsi="方正仿宋_GBK" w:eastAsia="方正仿宋_GBK" w:cs="方正仿宋_GBK"/>
          <w:b/>
          <w:bCs/>
          <w:color w:val="auto"/>
          <w:spacing w:val="-4"/>
          <w:sz w:val="32"/>
          <w:szCs w:val="32"/>
        </w:rPr>
        <w:t>支出</w:t>
      </w:r>
      <w:r>
        <w:rPr>
          <w:rFonts w:hint="eastAsia" w:ascii="方正仿宋_GBK" w:hAnsi="方正仿宋_GBK" w:eastAsia="方正仿宋_GBK" w:cs="方正仿宋_GBK"/>
          <w:b/>
          <w:bCs/>
          <w:color w:val="auto"/>
          <w:spacing w:val="-4"/>
          <w:sz w:val="32"/>
          <w:szCs w:val="32"/>
          <w:lang w:eastAsia="zh-CN"/>
        </w:rPr>
        <w:t>。</w:t>
      </w:r>
    </w:p>
    <w:p w14:paraId="4DD1E4C9">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黑体_GBK" w:hAnsi="方正黑体_GBK" w:eastAsia="方正黑体_GBK" w:cs="方正黑体_GBK"/>
          <w:b/>
          <w:bCs/>
          <w:color w:val="auto"/>
          <w:spacing w:val="-4"/>
          <w:kern w:val="2"/>
          <w:sz w:val="32"/>
          <w:szCs w:val="32"/>
          <w:lang w:val="en-US" w:eastAsia="zh-CN" w:bidi="ar-SA"/>
        </w:rPr>
      </w:pPr>
      <w:r>
        <w:rPr>
          <w:rFonts w:hint="eastAsia" w:ascii="方正黑体_GBK" w:hAnsi="方正黑体_GBK" w:eastAsia="方正黑体_GBK" w:cs="方正黑体_GBK"/>
          <w:b/>
          <w:bCs/>
          <w:color w:val="auto"/>
          <w:spacing w:val="-4"/>
          <w:kern w:val="2"/>
          <w:sz w:val="32"/>
          <w:szCs w:val="32"/>
          <w:lang w:val="en-US" w:eastAsia="zh-CN" w:bidi="ar-SA"/>
        </w:rPr>
        <w:t>五、社会保险基金预算支出情况</w:t>
      </w:r>
    </w:p>
    <w:p w14:paraId="55279E9F">
      <w:pPr>
        <w:pStyle w:val="8"/>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sz w:val="32"/>
          <w:szCs w:val="32"/>
          <w:lang w:val="en-US" w:eastAsia="zh-CN"/>
        </w:rPr>
        <w:t>无</w:t>
      </w:r>
      <w:r>
        <w:rPr>
          <w:rFonts w:hint="eastAsia" w:ascii="方正仿宋_GBK" w:hAnsi="方正仿宋_GBK" w:eastAsia="方正仿宋_GBK" w:cs="方正仿宋_GBK"/>
          <w:b/>
          <w:bCs/>
          <w:color w:val="auto"/>
          <w:spacing w:val="-4"/>
          <w:sz w:val="32"/>
          <w:szCs w:val="32"/>
        </w:rPr>
        <w:t>社会保险基金预算</w:t>
      </w:r>
      <w:r>
        <w:rPr>
          <w:rFonts w:hint="eastAsia" w:ascii="方正仿宋_GBK" w:hAnsi="方正仿宋_GBK" w:eastAsia="方正仿宋_GBK" w:cs="方正仿宋_GBK"/>
          <w:b/>
          <w:bCs/>
          <w:color w:val="auto"/>
          <w:spacing w:val="-4"/>
          <w:sz w:val="32"/>
          <w:szCs w:val="32"/>
          <w:lang w:val="en-US" w:eastAsia="zh-CN"/>
        </w:rPr>
        <w:t>收入、</w:t>
      </w:r>
      <w:r>
        <w:rPr>
          <w:rFonts w:hint="eastAsia" w:ascii="方正仿宋_GBK" w:hAnsi="方正仿宋_GBK" w:eastAsia="方正仿宋_GBK" w:cs="方正仿宋_GBK"/>
          <w:b/>
          <w:bCs/>
          <w:color w:val="auto"/>
          <w:spacing w:val="-4"/>
          <w:sz w:val="32"/>
          <w:szCs w:val="32"/>
        </w:rPr>
        <w:t>支出</w:t>
      </w:r>
      <w:r>
        <w:rPr>
          <w:rFonts w:hint="eastAsia" w:ascii="方正仿宋_GBK" w:hAnsi="方正仿宋_GBK" w:eastAsia="方正仿宋_GBK" w:cs="方正仿宋_GBK"/>
          <w:b/>
          <w:bCs/>
          <w:color w:val="auto"/>
          <w:spacing w:val="-4"/>
          <w:sz w:val="32"/>
          <w:szCs w:val="32"/>
          <w:lang w:eastAsia="zh-CN"/>
        </w:rPr>
        <w:t>。</w:t>
      </w:r>
    </w:p>
    <w:p w14:paraId="7C63EFED">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黑体_GBK" w:hAnsi="方正黑体_GBK" w:eastAsia="方正黑体_GBK" w:cs="方正黑体_GBK"/>
          <w:b/>
          <w:bCs/>
          <w:color w:val="auto"/>
          <w:spacing w:val="-4"/>
          <w:kern w:val="2"/>
          <w:sz w:val="32"/>
          <w:szCs w:val="32"/>
          <w:lang w:val="en-US" w:eastAsia="zh-CN" w:bidi="ar-SA"/>
        </w:rPr>
      </w:pPr>
      <w:r>
        <w:rPr>
          <w:rFonts w:hint="eastAsia" w:ascii="方正黑体_GBK" w:hAnsi="方正黑体_GBK" w:eastAsia="方正黑体_GBK" w:cs="方正黑体_GBK"/>
          <w:b/>
          <w:bCs/>
          <w:color w:val="auto"/>
          <w:spacing w:val="-4"/>
          <w:kern w:val="2"/>
          <w:sz w:val="32"/>
          <w:szCs w:val="32"/>
          <w:lang w:val="en-US" w:eastAsia="zh-CN" w:bidi="ar-SA"/>
        </w:rPr>
        <w:t>六、部门整体支出绩效情况</w:t>
      </w:r>
    </w:p>
    <w:p w14:paraId="4BD083B6">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总体来说，我委已高质量完成2024年</w:t>
      </w:r>
      <w:r>
        <w:rPr>
          <w:rFonts w:hint="eastAsia" w:ascii="方正仿宋_GBK" w:hAnsi="方正仿宋_GBK" w:eastAsia="方正仿宋_GBK" w:cs="方正仿宋_GBK"/>
          <w:b/>
          <w:bCs/>
          <w:color w:val="auto"/>
          <w:spacing w:val="-4"/>
          <w:sz w:val="32"/>
          <w:szCs w:val="32"/>
        </w:rPr>
        <w:t>绩效目标</w:t>
      </w: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lang w:val="en-US" w:eastAsia="zh-CN"/>
        </w:rPr>
        <w:t>过去的一年在以习近平同志为核心的党中央坚强领导下，市委坚决扛起管党治党政治责任，坚定不移推进全面从严治党。全市纪检监察机关在省纪委监委和市委的领导下，忠诚履职尽责，强力正风肃纪反腐，推动全面从严治党取得新进展新成效。</w:t>
      </w:r>
    </w:p>
    <w:p w14:paraId="6A1136D8">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kern w:val="2"/>
          <w:sz w:val="32"/>
          <w:szCs w:val="32"/>
          <w:lang w:val="en-US" w:eastAsia="zh-CN" w:bidi="ar-SA"/>
        </w:rPr>
        <w:t>详情见附件2</w:t>
      </w:r>
      <w:r>
        <w:rPr>
          <w:rFonts w:hint="eastAsia" w:ascii="方正仿宋_GBK" w:hAnsi="方正仿宋_GBK" w:eastAsia="方正仿宋_GBK" w:cs="方正仿宋_GBK"/>
          <w:b/>
          <w:bCs/>
          <w:color w:val="auto"/>
          <w:spacing w:val="-4"/>
          <w:sz w:val="32"/>
          <w:szCs w:val="32"/>
        </w:rPr>
        <w:t>部门整体支出绩效自评表</w:t>
      </w:r>
      <w:r>
        <w:rPr>
          <w:rFonts w:hint="eastAsia" w:ascii="方正仿宋_GBK" w:hAnsi="方正仿宋_GBK" w:eastAsia="方正仿宋_GBK" w:cs="方正仿宋_GBK"/>
          <w:b/>
          <w:bCs/>
          <w:color w:val="auto"/>
          <w:spacing w:val="-4"/>
          <w:sz w:val="32"/>
          <w:szCs w:val="32"/>
          <w:lang w:eastAsia="zh-CN"/>
        </w:rPr>
        <w:t>。</w:t>
      </w:r>
    </w:p>
    <w:p w14:paraId="1D78A277">
      <w:pPr>
        <w:pStyle w:val="8"/>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ascii="方正黑体_GBK" w:hAnsi="方正黑体_GBK" w:eastAsia="方正黑体_GBK" w:cs="方正黑体_GBK"/>
          <w:b/>
          <w:bCs/>
          <w:color w:val="auto"/>
          <w:spacing w:val="-4"/>
          <w:sz w:val="32"/>
          <w:szCs w:val="32"/>
        </w:rPr>
      </w:pPr>
      <w:r>
        <w:rPr>
          <w:rFonts w:hint="eastAsia" w:ascii="方正黑体_GBK" w:hAnsi="方正黑体_GBK" w:eastAsia="方正黑体_GBK" w:cs="方正黑体_GBK"/>
          <w:b/>
          <w:bCs/>
          <w:color w:val="auto"/>
          <w:spacing w:val="-4"/>
          <w:sz w:val="32"/>
          <w:szCs w:val="32"/>
          <w:lang w:eastAsia="zh-CN"/>
        </w:rPr>
        <w:t>七</w:t>
      </w:r>
      <w:r>
        <w:rPr>
          <w:rFonts w:hint="eastAsia" w:ascii="方正黑体_GBK" w:hAnsi="方正黑体_GBK" w:eastAsia="方正黑体_GBK" w:cs="方正黑体_GBK"/>
          <w:b/>
          <w:bCs/>
          <w:color w:val="auto"/>
          <w:spacing w:val="-4"/>
          <w:sz w:val="32"/>
          <w:szCs w:val="32"/>
        </w:rPr>
        <w:t>、存在的问题及原因分析</w:t>
      </w:r>
    </w:p>
    <w:p w14:paraId="038F1FDF">
      <w:pPr>
        <w:pStyle w:val="2"/>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color w:val="auto"/>
          <w:spacing w:val="-4"/>
          <w:sz w:val="32"/>
          <w:szCs w:val="32"/>
          <w:lang w:val="en-US" w:eastAsia="zh-CN"/>
        </w:rPr>
        <w:t>（一）</w:t>
      </w:r>
      <w:r>
        <w:rPr>
          <w:rFonts w:hint="eastAsia" w:ascii="方正楷体_GBK" w:hAnsi="方正楷体_GBK" w:eastAsia="方正楷体_GBK" w:cs="方正楷体_GBK"/>
          <w:b/>
          <w:bCs/>
          <w:sz w:val="32"/>
          <w:szCs w:val="32"/>
          <w:lang w:val="en-US" w:eastAsia="zh-CN"/>
        </w:rPr>
        <w:t>部门整体预算绩效目标存在未完成指标</w:t>
      </w:r>
    </w:p>
    <w:p w14:paraId="15ECDB7E">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部门整体预算绩效目标中的数量指标“廉洁湘潭公众号推文700篇”未完成，原因为出于</w:t>
      </w:r>
      <w:r>
        <w:rPr>
          <w:rFonts w:hint="eastAsia" w:ascii="方正仿宋_GBK" w:hAnsi="方正仿宋_GBK" w:eastAsia="方正仿宋_GBK" w:cs="方正仿宋_GBK"/>
          <w:b/>
          <w:bCs/>
          <w:color w:val="auto"/>
          <w:spacing w:val="-4"/>
          <w:kern w:val="2"/>
          <w:sz w:val="32"/>
          <w:szCs w:val="32"/>
          <w:lang w:val="en-US" w:eastAsia="zh-CN" w:bidi="ar-SA"/>
        </w:rPr>
        <w:t>工作</w:t>
      </w:r>
      <w:r>
        <w:rPr>
          <w:rFonts w:hint="eastAsia" w:ascii="方正仿宋_GBK" w:hAnsi="方正仿宋_GBK" w:eastAsia="方正仿宋_GBK" w:cs="方正仿宋_GBK"/>
          <w:b/>
          <w:bCs/>
          <w:color w:val="auto"/>
          <w:spacing w:val="-4"/>
          <w:kern w:val="2"/>
          <w:sz w:val="32"/>
          <w:szCs w:val="32"/>
          <w:lang w:val="en-US" w:eastAsia="zh-CN" w:bidi="ar-SA"/>
        </w:rPr>
        <w:t>实际需要，宣传教育工作年度计划进行了调整：2024年廉洁湘潭公众号推文发表628篇，低于目标700篇；但项目预算绩效目标中的数量指标“省级以上媒体发稿”指标值200篇，2024年完成值949篇，远高于年初设定的目标值。</w:t>
      </w:r>
    </w:p>
    <w:p w14:paraId="08864F7B">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（二）组织培训工作项目存在未完成指标、项目预算执行率较低</w:t>
      </w:r>
    </w:p>
    <w:p w14:paraId="6323D7E9">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组织培训工作项目预算绩效目标中的数量指标“举办全市检察官学历培训1次”未完成、项目预算执行率为53%，原因为年度计划的调整——2024年取消了该项培训，因此也使得本应开支于该项培训的预算经费未使用，大幅拉低了项目预算执行率。</w:t>
      </w:r>
    </w:p>
    <w:p w14:paraId="16442E89">
      <w:pPr>
        <w:keepNext w:val="0"/>
        <w:keepLines w:val="0"/>
        <w:pageBreakBefore w:val="0"/>
        <w:widowControl w:val="0"/>
        <w:kinsoku/>
        <w:wordWrap/>
        <w:overflowPunct/>
        <w:topLinePunct w:val="0"/>
        <w:autoSpaceDE/>
        <w:autoSpaceDN/>
        <w:bidi w:val="0"/>
        <w:adjustRightInd/>
        <w:snapToGrid/>
        <w:spacing w:line="600" w:lineRule="exact"/>
        <w:ind w:firstLine="627" w:firstLineChars="200"/>
        <w:textAlignment w:val="auto"/>
        <w:rPr>
          <w:rFonts w:hint="eastAsia" w:ascii="方正黑体_GBK" w:hAnsi="方正黑体_GBK" w:eastAsia="方正黑体_GBK" w:cs="方正黑体_GBK"/>
          <w:b/>
          <w:bCs/>
          <w:color w:val="auto"/>
          <w:spacing w:val="-4"/>
          <w:sz w:val="32"/>
          <w:szCs w:val="32"/>
        </w:rPr>
      </w:pPr>
      <w:r>
        <w:rPr>
          <w:rFonts w:hint="eastAsia" w:ascii="方正黑体_GBK" w:hAnsi="方正黑体_GBK" w:eastAsia="方正黑体_GBK" w:cs="方正黑体_GBK"/>
          <w:b/>
          <w:bCs/>
          <w:color w:val="auto"/>
          <w:spacing w:val="-4"/>
          <w:sz w:val="32"/>
          <w:szCs w:val="32"/>
          <w:lang w:eastAsia="zh-CN"/>
        </w:rPr>
        <w:t>八、</w:t>
      </w:r>
      <w:r>
        <w:rPr>
          <w:rFonts w:hint="eastAsia" w:ascii="方正黑体_GBK" w:hAnsi="方正黑体_GBK" w:eastAsia="方正黑体_GBK" w:cs="方正黑体_GBK"/>
          <w:b/>
          <w:bCs/>
          <w:color w:val="auto"/>
          <w:spacing w:val="-4"/>
          <w:sz w:val="32"/>
          <w:szCs w:val="32"/>
        </w:rPr>
        <w:t>下一步改进措施</w:t>
      </w:r>
    </w:p>
    <w:p w14:paraId="52635B01">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（一）</w:t>
      </w:r>
      <w:r>
        <w:rPr>
          <w:rFonts w:hint="eastAsia" w:ascii="方正仿宋_GBK" w:hAnsi="方正仿宋_GBK" w:eastAsia="方正仿宋_GBK" w:cs="方正仿宋_GBK"/>
          <w:b/>
          <w:bCs/>
          <w:sz w:val="32"/>
          <w:szCs w:val="32"/>
          <w:lang w:val="en-US" w:eastAsia="zh-CN"/>
        </w:rPr>
        <w:t>部门整体预算绩效目标存在未完成指标问题的改进措施​</w:t>
      </w:r>
    </w:p>
    <w:p w14:paraId="59A41F38">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1.预算绩效目标设定过程中参考动态调整机制、进行分级考核：设置基础目标（如600篇）与激励目标（如700篇+），完成基础目标即视为达标，超额部分按比例加分。</w:t>
      </w:r>
    </w:p>
    <w:p w14:paraId="13C8065E">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2.预算绩效目标设定过程中参考历史数据：参考以往年度媒体发稿量数据，结合工作实际取平均值，设置合理目标区间（如600-800篇）。</w:t>
      </w:r>
    </w:p>
    <w:p w14:paraId="01858D7A">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3.预算绩效目标设定过程中参考应急储备机制：预留5%-10%预算金额用于突发性任务（如购置相关工作设备、增加培训次数等），确保目标弹性空间。</w:t>
      </w:r>
    </w:p>
    <w:p w14:paraId="27043ABA">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color w:val="auto"/>
          <w:spacing w:val="-4"/>
          <w:sz w:val="32"/>
          <w:szCs w:val="32"/>
          <w:lang w:val="en-US" w:eastAsia="zh-CN"/>
        </w:rPr>
        <w:t>（二）</w:t>
      </w:r>
      <w:r>
        <w:rPr>
          <w:rFonts w:hint="eastAsia" w:ascii="方正楷体_GBK" w:hAnsi="方正楷体_GBK" w:eastAsia="方正楷体_GBK" w:cs="方正楷体_GBK"/>
          <w:b/>
          <w:bCs/>
          <w:sz w:val="32"/>
          <w:szCs w:val="32"/>
          <w:lang w:val="en-US" w:eastAsia="zh-CN"/>
        </w:rPr>
        <w:t>组织培训工作项目存在未完成指标、项目预算执行率较低</w:t>
      </w:r>
    </w:p>
    <w:p w14:paraId="043FE860">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1.强化预算执行刚性约束，参考季度对账制度：每季度核对预算执行情况，对连续两季度执行率低于50%的项目启动预警。</w:t>
      </w:r>
    </w:p>
    <w:p w14:paraId="74417AE7">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2.在预算执行过程中建立余款统筹机制：未执行预算按程序收回后进行部门内部资金调剂，优先用于本部门其他急需项目。</w:t>
      </w:r>
    </w:p>
    <w:p w14:paraId="357DF4B2">
      <w:pPr>
        <w:pStyle w:val="2"/>
        <w:keepNext w:val="0"/>
        <w:keepLines w:val="0"/>
        <w:pageBreakBefore w:val="0"/>
        <w:widowControl w:val="0"/>
        <w:kinsoku/>
        <w:wordWrap/>
        <w:overflowPunct/>
        <w:topLinePunct w:val="0"/>
        <w:autoSpaceDE/>
        <w:autoSpaceDN/>
        <w:bidi w:val="0"/>
        <w:adjustRightInd/>
        <w:spacing w:line="600" w:lineRule="exact"/>
        <w:ind w:left="0" w:leftChars="0" w:firstLine="627" w:firstLineChars="200"/>
        <w:textAlignment w:val="auto"/>
        <w:rPr>
          <w:rFonts w:hint="eastAsia" w:ascii="方正仿宋_GBK" w:hAnsi="方正仿宋_GBK" w:eastAsia="方正仿宋_GBK" w:cs="方正仿宋_GBK"/>
          <w:b/>
          <w:bCs/>
          <w:color w:val="auto"/>
          <w:spacing w:val="-4"/>
          <w:kern w:val="2"/>
          <w:sz w:val="32"/>
          <w:szCs w:val="32"/>
          <w:lang w:val="en-US" w:eastAsia="zh-CN" w:bidi="ar-SA"/>
        </w:rPr>
      </w:pPr>
      <w:r>
        <w:rPr>
          <w:rFonts w:hint="eastAsia" w:ascii="方正仿宋_GBK" w:hAnsi="方正仿宋_GBK" w:eastAsia="方正仿宋_GBK" w:cs="方正仿宋_GBK"/>
          <w:b/>
          <w:bCs/>
          <w:color w:val="auto"/>
          <w:spacing w:val="-4"/>
          <w:kern w:val="2"/>
          <w:sz w:val="32"/>
          <w:szCs w:val="32"/>
          <w:lang w:val="en-US" w:eastAsia="zh-CN" w:bidi="ar-SA"/>
        </w:rPr>
        <w:t>3.优化预算编制方法，采用零基预算+弹性系数法：基础预算按常规需求编制，对年度工作计划中可能进行调整的部分不设立预算绩效目标，但额外预留10%-15%作为应急资金。</w:t>
      </w:r>
    </w:p>
    <w:p w14:paraId="1EBC7088">
      <w:pPr>
        <w:keepNext w:val="0"/>
        <w:keepLines w:val="0"/>
        <w:pageBreakBefore w:val="0"/>
        <w:widowControl w:val="0"/>
        <w:numPr>
          <w:ilvl w:val="0"/>
          <w:numId w:val="2"/>
        </w:numPr>
        <w:kinsoku/>
        <w:wordWrap/>
        <w:overflowPunct/>
        <w:topLinePunct w:val="0"/>
        <w:autoSpaceDE/>
        <w:autoSpaceDN/>
        <w:bidi w:val="0"/>
        <w:adjustRightInd/>
        <w:spacing w:line="600" w:lineRule="exact"/>
        <w:ind w:firstLine="627" w:firstLineChars="200"/>
        <w:textAlignment w:val="auto"/>
        <w:rPr>
          <w:rFonts w:hint="eastAsia" w:ascii="方正黑体_GBK" w:hAnsi="方正黑体_GBK" w:eastAsia="方正黑体_GBK" w:cs="方正黑体_GBK"/>
          <w:b/>
          <w:bCs/>
          <w:color w:val="auto"/>
          <w:spacing w:val="-4"/>
          <w:sz w:val="32"/>
          <w:szCs w:val="32"/>
        </w:rPr>
      </w:pPr>
      <w:r>
        <w:rPr>
          <w:rFonts w:hint="eastAsia" w:ascii="方正黑体_GBK" w:hAnsi="方正黑体_GBK" w:eastAsia="方正黑体_GBK" w:cs="方正黑体_GBK"/>
          <w:b/>
          <w:bCs/>
          <w:color w:val="auto"/>
          <w:spacing w:val="-4"/>
          <w:sz w:val="32"/>
          <w:szCs w:val="32"/>
        </w:rPr>
        <w:t>绩效自评结果拟应用和公开情况</w:t>
      </w:r>
    </w:p>
    <w:p w14:paraId="53A293D6">
      <w:pPr>
        <w:pStyle w:val="2"/>
        <w:keepNext w:val="0"/>
        <w:keepLines w:val="0"/>
        <w:pageBreakBefore w:val="0"/>
        <w:widowControl w:val="0"/>
        <w:numPr>
          <w:numId w:val="0"/>
        </w:numPr>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一</w:t>
      </w:r>
      <w:r>
        <w:rPr>
          <w:rFonts w:hint="eastAsia" w:ascii="方正楷体_GBK" w:hAnsi="方正楷体_GBK" w:eastAsia="方正楷体_GBK" w:cs="方正楷体_GBK"/>
          <w:b/>
          <w:bCs/>
          <w:sz w:val="32"/>
          <w:szCs w:val="32"/>
          <w:lang w:eastAsia="zh-CN"/>
        </w:rPr>
        <w:t>）绩效自评结果拟应用</w:t>
      </w:r>
      <w:r>
        <w:rPr>
          <w:rFonts w:hint="eastAsia" w:ascii="方正仿宋_GBK" w:hAnsi="方正仿宋_GBK" w:eastAsia="方正仿宋_GBK" w:cs="方正仿宋_GBK"/>
          <w:b/>
          <w:bCs/>
          <w:sz w:val="32"/>
          <w:szCs w:val="32"/>
        </w:rPr>
        <w:t>​​</w:t>
      </w:r>
    </w:p>
    <w:p w14:paraId="1EA33FA3">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rPr>
        <w:t>加强问题整改​​</w:t>
      </w:r>
    </w:p>
    <w:p w14:paraId="16C53AFF">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针对绩效自评发现的问题逐项分析原因，制定切实可行的整改方案，明确责任人和整改时限。</w:t>
      </w:r>
    </w:p>
    <w:p w14:paraId="235612B6">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优化绩效指标设置​​</w:t>
      </w:r>
    </w:p>
    <w:p w14:paraId="71DD8AFF">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根据自评情况调整和优化绩效指标，确保指标更加科学合理，既能反映工作成效，又具有可操作性。对部分不合理的指标进行修订，</w:t>
      </w:r>
      <w:r>
        <w:rPr>
          <w:rFonts w:hint="eastAsia" w:ascii="方正仿宋_GBK" w:hAnsi="方正仿宋_GBK" w:eastAsia="方正仿宋_GBK" w:cs="方正仿宋_GBK"/>
          <w:b/>
          <w:bCs/>
          <w:sz w:val="32"/>
          <w:szCs w:val="32"/>
          <w:lang w:val="en-US" w:eastAsia="zh-CN"/>
        </w:rPr>
        <w:t>科学设置</w:t>
      </w:r>
      <w:r>
        <w:rPr>
          <w:rFonts w:hint="eastAsia" w:ascii="方正仿宋_GBK" w:hAnsi="方正仿宋_GBK" w:eastAsia="方正仿宋_GBK" w:cs="方正仿宋_GBK"/>
          <w:b/>
          <w:bCs/>
          <w:sz w:val="32"/>
          <w:szCs w:val="32"/>
        </w:rPr>
        <w:t>质量、效益类指标，</w:t>
      </w:r>
      <w:r>
        <w:rPr>
          <w:rFonts w:hint="eastAsia" w:ascii="方正仿宋_GBK" w:hAnsi="方正仿宋_GBK" w:eastAsia="方正仿宋_GBK" w:cs="方正仿宋_GBK"/>
          <w:b/>
          <w:bCs/>
          <w:sz w:val="32"/>
          <w:szCs w:val="32"/>
          <w:lang w:val="en-US" w:eastAsia="zh-CN"/>
        </w:rPr>
        <w:t>优化调整</w:t>
      </w:r>
      <w:r>
        <w:rPr>
          <w:rFonts w:hint="eastAsia" w:ascii="方正仿宋_GBK" w:hAnsi="方正仿宋_GBK" w:eastAsia="方正仿宋_GBK" w:cs="方正仿宋_GBK"/>
          <w:b/>
          <w:bCs/>
          <w:sz w:val="32"/>
          <w:szCs w:val="32"/>
        </w:rPr>
        <w:t>以</w:t>
      </w:r>
      <w:r>
        <w:rPr>
          <w:rFonts w:hint="eastAsia" w:ascii="方正仿宋_GBK" w:hAnsi="方正仿宋_GBK" w:eastAsia="方正仿宋_GBK" w:cs="方正仿宋_GBK"/>
          <w:b/>
          <w:bCs/>
          <w:sz w:val="32"/>
          <w:szCs w:val="32"/>
          <w:lang w:val="en-US" w:eastAsia="zh-CN"/>
        </w:rPr>
        <w:t>具体</w:t>
      </w:r>
      <w:r>
        <w:rPr>
          <w:rFonts w:hint="eastAsia" w:ascii="方正仿宋_GBK" w:hAnsi="方正仿宋_GBK" w:eastAsia="方正仿宋_GBK" w:cs="方正仿宋_GBK"/>
          <w:b/>
          <w:bCs/>
          <w:sz w:val="32"/>
          <w:szCs w:val="32"/>
        </w:rPr>
        <w:t>数量为导向的考核方式</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合理设置数量指标数量范围区间</w:t>
      </w:r>
      <w:r>
        <w:rPr>
          <w:rFonts w:hint="eastAsia" w:ascii="方正仿宋_GBK" w:hAnsi="方正仿宋_GBK" w:eastAsia="方正仿宋_GBK" w:cs="方正仿宋_GBK"/>
          <w:b/>
          <w:bCs/>
          <w:sz w:val="32"/>
          <w:szCs w:val="32"/>
        </w:rPr>
        <w:t>。</w:t>
      </w:r>
    </w:p>
    <w:p w14:paraId="2D735B23">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强化预算管理​​</w:t>
      </w:r>
    </w:p>
    <w:p w14:paraId="514A3D5B">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对执行率较低的项目分析原因</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调整预算安排</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提高资金使用效益</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对执行较好的项目，在下一年度预算安排中予以适当倾斜，优先保障高效项目的资金需求。</w:t>
      </w:r>
    </w:p>
    <w:p w14:paraId="38327714">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推动管理提升​​</w:t>
      </w:r>
    </w:p>
    <w:p w14:paraId="7E64A41E">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针对自评发现的薄弱环节，完善内部</w:t>
      </w:r>
      <w:r>
        <w:rPr>
          <w:rFonts w:hint="eastAsia" w:ascii="方正仿宋_GBK" w:hAnsi="方正仿宋_GBK" w:eastAsia="方正仿宋_GBK" w:cs="方正仿宋_GBK"/>
          <w:b/>
          <w:bCs/>
          <w:sz w:val="32"/>
          <w:szCs w:val="32"/>
          <w:lang w:val="en-US" w:eastAsia="zh-CN"/>
        </w:rPr>
        <w:t>控制</w:t>
      </w:r>
      <w:r>
        <w:rPr>
          <w:rFonts w:hint="eastAsia" w:ascii="方正仿宋_GBK" w:hAnsi="方正仿宋_GBK" w:eastAsia="方正仿宋_GBK" w:cs="方正仿宋_GBK"/>
          <w:b/>
          <w:bCs/>
          <w:sz w:val="32"/>
          <w:szCs w:val="32"/>
        </w:rPr>
        <w:t>制度</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优化工作流程</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提高工作效率和质量。加强对</w:t>
      </w:r>
      <w:r>
        <w:rPr>
          <w:rFonts w:hint="eastAsia" w:ascii="方正仿宋_GBK" w:hAnsi="方正仿宋_GBK" w:eastAsia="方正仿宋_GBK" w:cs="方正仿宋_GBK"/>
          <w:b/>
          <w:bCs/>
          <w:sz w:val="32"/>
          <w:szCs w:val="32"/>
          <w:lang w:val="en-US" w:eastAsia="zh-CN"/>
        </w:rPr>
        <w:t>预算</w:t>
      </w:r>
      <w:r>
        <w:rPr>
          <w:rFonts w:hint="eastAsia" w:ascii="方正仿宋_GBK" w:hAnsi="方正仿宋_GBK" w:eastAsia="方正仿宋_GBK" w:cs="方正仿宋_GBK"/>
          <w:b/>
          <w:bCs/>
          <w:sz w:val="32"/>
          <w:szCs w:val="32"/>
        </w:rPr>
        <w:t>绩效管理的重视</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提升全员绩效意识。</w:t>
      </w:r>
    </w:p>
    <w:p w14:paraId="0829A9C6">
      <w:pPr>
        <w:pStyle w:val="2"/>
        <w:keepNext w:val="0"/>
        <w:keepLines w:val="0"/>
        <w:pageBreakBefore w:val="0"/>
        <w:widowControl w:val="0"/>
        <w:numPr>
          <w:numId w:val="0"/>
        </w:numPr>
        <w:kinsoku/>
        <w:wordWrap/>
        <w:overflowPunct/>
        <w:topLinePunct w:val="0"/>
        <w:autoSpaceDE/>
        <w:autoSpaceDN/>
        <w:bidi w:val="0"/>
        <w:adjustRightInd/>
        <w:spacing w:line="600" w:lineRule="exact"/>
        <w:ind w:firstLine="643" w:firstLineChars="200"/>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lang w:val="en-US" w:eastAsia="zh-CN"/>
        </w:rPr>
        <w:t>二</w:t>
      </w:r>
      <w:r>
        <w:rPr>
          <w:rFonts w:hint="eastAsia" w:ascii="方正楷体_GBK" w:hAnsi="方正楷体_GBK" w:eastAsia="方正楷体_GBK" w:cs="方正楷体_GBK"/>
          <w:b/>
          <w:bCs/>
          <w:sz w:val="32"/>
          <w:szCs w:val="32"/>
          <w:lang w:eastAsia="zh-CN"/>
        </w:rPr>
        <w:t>）公开情况</w:t>
      </w:r>
    </w:p>
    <w:p w14:paraId="757205FD">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default" w:ascii="方正仿宋_GBK" w:hAnsi="方正仿宋_GBK" w:eastAsia="方正仿宋_GBK" w:cs="方正仿宋_GBK"/>
          <w:b/>
          <w:bCs/>
          <w:color w:val="auto"/>
          <w:spacing w:val="-4"/>
          <w:sz w:val="32"/>
          <w:szCs w:val="32"/>
          <w:lang w:val="en-US" w:eastAsia="zh-CN"/>
        </w:rPr>
      </w:pPr>
      <w:r>
        <w:rPr>
          <w:rFonts w:hint="eastAsia" w:ascii="方正仿宋_GBK" w:hAnsi="方正仿宋_GBK" w:eastAsia="方正仿宋_GBK" w:cs="方正仿宋_GBK"/>
          <w:b/>
          <w:bCs/>
          <w:color w:val="auto"/>
          <w:spacing w:val="-4"/>
          <w:sz w:val="32"/>
          <w:szCs w:val="32"/>
          <w:lang w:val="en-US" w:eastAsia="zh-CN"/>
        </w:rPr>
        <w:t>2024年绩效自评相关资料按财政部门相关文件要求拟将与2024年部门决算报告一起于相关平台进行公开。</w:t>
      </w:r>
    </w:p>
    <w:p w14:paraId="32546366">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lang w:eastAsia="zh-CN"/>
        </w:rPr>
        <w:t>十、</w:t>
      </w:r>
      <w:r>
        <w:rPr>
          <w:rFonts w:hint="eastAsia" w:ascii="方正仿宋_GBK" w:hAnsi="方正仿宋_GBK" w:eastAsia="方正仿宋_GBK" w:cs="方正仿宋_GBK"/>
          <w:b/>
          <w:bCs/>
          <w:color w:val="auto"/>
          <w:spacing w:val="-4"/>
          <w:sz w:val="32"/>
          <w:szCs w:val="32"/>
        </w:rPr>
        <w:t>其他需要说明的情况</w:t>
      </w:r>
    </w:p>
    <w:p w14:paraId="254D9453">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lang w:val="en-US" w:eastAsia="zh-CN"/>
        </w:rPr>
        <w:t>无。</w:t>
      </w:r>
      <w:bookmarkStart w:id="0" w:name="_GoBack"/>
      <w:bookmarkEnd w:id="0"/>
    </w:p>
    <w:p w14:paraId="21EFA345">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rPr>
        <w:t>附件：</w:t>
      </w:r>
    </w:p>
    <w:p w14:paraId="546D4C2D">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rPr>
        <w:t>1</w:t>
      </w:r>
      <w:r>
        <w:rPr>
          <w:rFonts w:hint="eastAsia" w:ascii="方正仿宋_GBK" w:hAnsi="方正仿宋_GBK" w:eastAsia="方正仿宋_GBK" w:cs="方正仿宋_GBK"/>
          <w:b/>
          <w:bCs/>
          <w:color w:val="auto"/>
          <w:spacing w:val="-4"/>
          <w:sz w:val="32"/>
          <w:szCs w:val="32"/>
          <w:lang w:val="en-US" w:eastAsia="zh-CN"/>
        </w:rPr>
        <w:t>.</w:t>
      </w:r>
      <w:r>
        <w:rPr>
          <w:rFonts w:hint="eastAsia" w:ascii="方正仿宋_GBK" w:hAnsi="方正仿宋_GBK" w:eastAsia="方正仿宋_GBK" w:cs="方正仿宋_GBK"/>
          <w:b/>
          <w:bCs/>
          <w:color w:val="auto"/>
          <w:spacing w:val="-4"/>
          <w:sz w:val="32"/>
          <w:szCs w:val="32"/>
        </w:rPr>
        <w:t>部门整体支出绩效评价基础数据表</w:t>
      </w:r>
    </w:p>
    <w:p w14:paraId="0DBA48E2">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rPr>
        <w:t>2</w:t>
      </w:r>
      <w:r>
        <w:rPr>
          <w:rFonts w:hint="eastAsia" w:ascii="方正仿宋_GBK" w:hAnsi="方正仿宋_GBK" w:eastAsia="方正仿宋_GBK" w:cs="方正仿宋_GBK"/>
          <w:b/>
          <w:bCs/>
          <w:color w:val="auto"/>
          <w:spacing w:val="-4"/>
          <w:sz w:val="32"/>
          <w:szCs w:val="32"/>
          <w:lang w:val="en-US" w:eastAsia="zh-CN"/>
        </w:rPr>
        <w:t>.</w:t>
      </w:r>
      <w:r>
        <w:rPr>
          <w:rFonts w:hint="eastAsia" w:ascii="方正仿宋_GBK" w:hAnsi="方正仿宋_GBK" w:eastAsia="方正仿宋_GBK" w:cs="方正仿宋_GBK"/>
          <w:b/>
          <w:bCs/>
          <w:color w:val="auto"/>
          <w:spacing w:val="-4"/>
          <w:sz w:val="32"/>
          <w:szCs w:val="32"/>
        </w:rPr>
        <w:t>部门整体支出绩效自评表</w:t>
      </w:r>
    </w:p>
    <w:p w14:paraId="388B090E">
      <w:pPr>
        <w:keepNext w:val="0"/>
        <w:keepLines w:val="0"/>
        <w:pageBreakBefore w:val="0"/>
        <w:widowControl w:val="0"/>
        <w:kinsoku/>
        <w:wordWrap/>
        <w:overflowPunct/>
        <w:topLinePunct w:val="0"/>
        <w:autoSpaceDE/>
        <w:autoSpaceDN/>
        <w:bidi w:val="0"/>
        <w:adjustRightInd/>
        <w:spacing w:line="600" w:lineRule="exact"/>
        <w:ind w:firstLine="627" w:firstLineChars="200"/>
        <w:textAlignment w:val="auto"/>
        <w:rPr>
          <w:rFonts w:hint="eastAsia" w:ascii="方正仿宋_GBK" w:hAnsi="方正仿宋_GBK" w:eastAsia="方正仿宋_GBK" w:cs="方正仿宋_GBK"/>
          <w:b/>
          <w:bCs/>
          <w:color w:val="auto"/>
          <w:spacing w:val="-4"/>
          <w:sz w:val="32"/>
          <w:szCs w:val="32"/>
        </w:rPr>
      </w:pPr>
      <w:r>
        <w:rPr>
          <w:rFonts w:hint="eastAsia" w:ascii="方正仿宋_GBK" w:hAnsi="方正仿宋_GBK" w:eastAsia="方正仿宋_GBK" w:cs="方正仿宋_GBK"/>
          <w:b/>
          <w:bCs/>
          <w:color w:val="auto"/>
          <w:spacing w:val="-4"/>
          <w:sz w:val="32"/>
          <w:szCs w:val="32"/>
        </w:rPr>
        <w:t>3</w:t>
      </w:r>
      <w:r>
        <w:rPr>
          <w:rFonts w:hint="eastAsia" w:ascii="方正仿宋_GBK" w:hAnsi="方正仿宋_GBK" w:eastAsia="方正仿宋_GBK" w:cs="方正仿宋_GBK"/>
          <w:b/>
          <w:bCs/>
          <w:color w:val="auto"/>
          <w:spacing w:val="-4"/>
          <w:sz w:val="32"/>
          <w:szCs w:val="32"/>
          <w:lang w:val="en-US" w:eastAsia="zh-CN"/>
        </w:rPr>
        <w:t>.</w:t>
      </w:r>
      <w:r>
        <w:rPr>
          <w:rFonts w:hint="eastAsia" w:ascii="方正仿宋_GBK" w:hAnsi="方正仿宋_GBK" w:eastAsia="方正仿宋_GBK" w:cs="方正仿宋_GBK"/>
          <w:b/>
          <w:bCs/>
          <w:color w:val="auto"/>
          <w:spacing w:val="-4"/>
          <w:sz w:val="32"/>
          <w:szCs w:val="32"/>
        </w:rPr>
        <w:t>项目支出绩效自评表</w:t>
      </w:r>
    </w:p>
    <w:p w14:paraId="05DDD66D">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方正仿宋_GBK" w:hAnsi="方正仿宋_GBK" w:eastAsia="方正仿宋_GBK" w:cs="方正仿宋_GBK"/>
          <w:b/>
          <w:bCs/>
          <w:spacing w:val="-4"/>
          <w:sz w:val="32"/>
          <w:szCs w:val="32"/>
        </w:rPr>
      </w:pPr>
    </w:p>
    <w:sectPr>
      <w:pgSz w:w="11906" w:h="16838"/>
      <w:pgMar w:top="2098" w:right="1474" w:bottom="1984" w:left="1587" w:header="1134" w:footer="158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EC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7800AE">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67800AE">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F0DE8"/>
    <w:multiLevelType w:val="singleLevel"/>
    <w:tmpl w:val="88EF0DE8"/>
    <w:lvl w:ilvl="0" w:tentative="0">
      <w:start w:val="2"/>
      <w:numFmt w:val="decimal"/>
      <w:suff w:val="nothing"/>
      <w:lvlText w:val="（%1）"/>
      <w:lvlJc w:val="left"/>
    </w:lvl>
  </w:abstractNum>
  <w:abstractNum w:abstractNumId="1">
    <w:nsid w:val="7CAE5593"/>
    <w:multiLevelType w:val="singleLevel"/>
    <w:tmpl w:val="7CAE5593"/>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5ED6"/>
    <w:rsid w:val="0053276A"/>
    <w:rsid w:val="00B41C04"/>
    <w:rsid w:val="014B7AE2"/>
    <w:rsid w:val="028E771C"/>
    <w:rsid w:val="03C505AF"/>
    <w:rsid w:val="04536794"/>
    <w:rsid w:val="04E6613A"/>
    <w:rsid w:val="0591175B"/>
    <w:rsid w:val="05D40AF6"/>
    <w:rsid w:val="06A06029"/>
    <w:rsid w:val="06F97F9A"/>
    <w:rsid w:val="07F75CA8"/>
    <w:rsid w:val="087B41C0"/>
    <w:rsid w:val="088E75E5"/>
    <w:rsid w:val="08F9043C"/>
    <w:rsid w:val="09226469"/>
    <w:rsid w:val="092C769C"/>
    <w:rsid w:val="09865AFC"/>
    <w:rsid w:val="099067AB"/>
    <w:rsid w:val="0A187979"/>
    <w:rsid w:val="0A954B61"/>
    <w:rsid w:val="0BBF789B"/>
    <w:rsid w:val="0C8852C6"/>
    <w:rsid w:val="0D026504"/>
    <w:rsid w:val="0EA21BDD"/>
    <w:rsid w:val="0EC564C3"/>
    <w:rsid w:val="105A22BC"/>
    <w:rsid w:val="10A24164"/>
    <w:rsid w:val="1125135F"/>
    <w:rsid w:val="11273AD9"/>
    <w:rsid w:val="121B6566"/>
    <w:rsid w:val="124B777E"/>
    <w:rsid w:val="12624760"/>
    <w:rsid w:val="13515255"/>
    <w:rsid w:val="14F023DF"/>
    <w:rsid w:val="15E36784"/>
    <w:rsid w:val="1714086C"/>
    <w:rsid w:val="175E3B47"/>
    <w:rsid w:val="18343AA4"/>
    <w:rsid w:val="18CE3E98"/>
    <w:rsid w:val="197C5E5D"/>
    <w:rsid w:val="199265B6"/>
    <w:rsid w:val="1A73707F"/>
    <w:rsid w:val="1AA255B9"/>
    <w:rsid w:val="1ABF141C"/>
    <w:rsid w:val="1BBA3A2F"/>
    <w:rsid w:val="1BC64A2C"/>
    <w:rsid w:val="1C042B2C"/>
    <w:rsid w:val="1CF3211F"/>
    <w:rsid w:val="1D195AD6"/>
    <w:rsid w:val="1D470009"/>
    <w:rsid w:val="1DC16D85"/>
    <w:rsid w:val="1DE2527E"/>
    <w:rsid w:val="1F387436"/>
    <w:rsid w:val="1FC50A90"/>
    <w:rsid w:val="219A0E50"/>
    <w:rsid w:val="22992965"/>
    <w:rsid w:val="22AF4E9E"/>
    <w:rsid w:val="22BE4F7D"/>
    <w:rsid w:val="23030B29"/>
    <w:rsid w:val="23EE40AF"/>
    <w:rsid w:val="242E1279"/>
    <w:rsid w:val="24442987"/>
    <w:rsid w:val="25E75A1D"/>
    <w:rsid w:val="269769F5"/>
    <w:rsid w:val="26B21811"/>
    <w:rsid w:val="26F70A5D"/>
    <w:rsid w:val="27142824"/>
    <w:rsid w:val="28154C29"/>
    <w:rsid w:val="29D3410C"/>
    <w:rsid w:val="2A523562"/>
    <w:rsid w:val="2A992E3E"/>
    <w:rsid w:val="2A9A2583"/>
    <w:rsid w:val="2C2101C7"/>
    <w:rsid w:val="2C78601D"/>
    <w:rsid w:val="2CA03331"/>
    <w:rsid w:val="2CE744D8"/>
    <w:rsid w:val="2D5860FA"/>
    <w:rsid w:val="2E530C6F"/>
    <w:rsid w:val="2F1031FD"/>
    <w:rsid w:val="2F9154D6"/>
    <w:rsid w:val="2F956EAA"/>
    <w:rsid w:val="304E5B92"/>
    <w:rsid w:val="307E168E"/>
    <w:rsid w:val="313B48C4"/>
    <w:rsid w:val="313E79B5"/>
    <w:rsid w:val="31466937"/>
    <w:rsid w:val="31681811"/>
    <w:rsid w:val="320A3CAA"/>
    <w:rsid w:val="32577D46"/>
    <w:rsid w:val="334308AF"/>
    <w:rsid w:val="33E41561"/>
    <w:rsid w:val="347A2C24"/>
    <w:rsid w:val="348D26D1"/>
    <w:rsid w:val="34900E73"/>
    <w:rsid w:val="34A66F81"/>
    <w:rsid w:val="35161C38"/>
    <w:rsid w:val="3560252B"/>
    <w:rsid w:val="35BC685A"/>
    <w:rsid w:val="36643853"/>
    <w:rsid w:val="366949E8"/>
    <w:rsid w:val="37660D8E"/>
    <w:rsid w:val="3769496C"/>
    <w:rsid w:val="37F52D97"/>
    <w:rsid w:val="38324446"/>
    <w:rsid w:val="387B329C"/>
    <w:rsid w:val="39A6259B"/>
    <w:rsid w:val="39E8304E"/>
    <w:rsid w:val="3ABF721B"/>
    <w:rsid w:val="3B191D2F"/>
    <w:rsid w:val="3BB950D6"/>
    <w:rsid w:val="3C4F7048"/>
    <w:rsid w:val="3EFD6405"/>
    <w:rsid w:val="3F0F2990"/>
    <w:rsid w:val="3F437F0E"/>
    <w:rsid w:val="3FC63E32"/>
    <w:rsid w:val="3FF316C7"/>
    <w:rsid w:val="402031A4"/>
    <w:rsid w:val="422665F4"/>
    <w:rsid w:val="42440BA3"/>
    <w:rsid w:val="44A71888"/>
    <w:rsid w:val="44D162A9"/>
    <w:rsid w:val="45DE1089"/>
    <w:rsid w:val="46115240"/>
    <w:rsid w:val="471A400B"/>
    <w:rsid w:val="47583F97"/>
    <w:rsid w:val="47F04B43"/>
    <w:rsid w:val="493C06FE"/>
    <w:rsid w:val="498134E7"/>
    <w:rsid w:val="49F16F48"/>
    <w:rsid w:val="4A955E78"/>
    <w:rsid w:val="4BD84517"/>
    <w:rsid w:val="4D5344AC"/>
    <w:rsid w:val="4DA1466C"/>
    <w:rsid w:val="4E455429"/>
    <w:rsid w:val="4EC41033"/>
    <w:rsid w:val="4F1C324D"/>
    <w:rsid w:val="4F416688"/>
    <w:rsid w:val="4F645D8F"/>
    <w:rsid w:val="50503AC9"/>
    <w:rsid w:val="50A5584E"/>
    <w:rsid w:val="52F92CDD"/>
    <w:rsid w:val="5347557C"/>
    <w:rsid w:val="53594D4B"/>
    <w:rsid w:val="53882E7C"/>
    <w:rsid w:val="558A26BB"/>
    <w:rsid w:val="559317C9"/>
    <w:rsid w:val="560F5E93"/>
    <w:rsid w:val="563B4C87"/>
    <w:rsid w:val="56B25C8F"/>
    <w:rsid w:val="56CE13B5"/>
    <w:rsid w:val="57303A54"/>
    <w:rsid w:val="576B045F"/>
    <w:rsid w:val="57F654D2"/>
    <w:rsid w:val="587115A4"/>
    <w:rsid w:val="58CF7404"/>
    <w:rsid w:val="5AB02E22"/>
    <w:rsid w:val="5B9F7BC4"/>
    <w:rsid w:val="5CF778A1"/>
    <w:rsid w:val="5DEC3FC0"/>
    <w:rsid w:val="5F6D0154"/>
    <w:rsid w:val="5F856B26"/>
    <w:rsid w:val="5FA10F8B"/>
    <w:rsid w:val="5FAC70AD"/>
    <w:rsid w:val="6044207E"/>
    <w:rsid w:val="61533DFD"/>
    <w:rsid w:val="6154737F"/>
    <w:rsid w:val="615816A9"/>
    <w:rsid w:val="61C609E8"/>
    <w:rsid w:val="629E42AB"/>
    <w:rsid w:val="63615E5D"/>
    <w:rsid w:val="63D60BE1"/>
    <w:rsid w:val="64BD718B"/>
    <w:rsid w:val="64EC3044"/>
    <w:rsid w:val="65773680"/>
    <w:rsid w:val="658C7C50"/>
    <w:rsid w:val="6653744E"/>
    <w:rsid w:val="674F47BC"/>
    <w:rsid w:val="678A004E"/>
    <w:rsid w:val="67C60E6F"/>
    <w:rsid w:val="690B31DC"/>
    <w:rsid w:val="696A60B8"/>
    <w:rsid w:val="6ADA146A"/>
    <w:rsid w:val="6BE753DF"/>
    <w:rsid w:val="6C6B4DFB"/>
    <w:rsid w:val="6E0C2C4C"/>
    <w:rsid w:val="6E557B10"/>
    <w:rsid w:val="6E755580"/>
    <w:rsid w:val="6EF61D7D"/>
    <w:rsid w:val="6F12673B"/>
    <w:rsid w:val="6F4D5330"/>
    <w:rsid w:val="6F9F370B"/>
    <w:rsid w:val="6FEC1977"/>
    <w:rsid w:val="70273E97"/>
    <w:rsid w:val="70756248"/>
    <w:rsid w:val="71612CC2"/>
    <w:rsid w:val="718E711C"/>
    <w:rsid w:val="71931588"/>
    <w:rsid w:val="71A7222D"/>
    <w:rsid w:val="71EF656B"/>
    <w:rsid w:val="7212623B"/>
    <w:rsid w:val="72773E7A"/>
    <w:rsid w:val="72D33542"/>
    <w:rsid w:val="730A1B38"/>
    <w:rsid w:val="752A0C89"/>
    <w:rsid w:val="752A3B98"/>
    <w:rsid w:val="75390766"/>
    <w:rsid w:val="75FA49E1"/>
    <w:rsid w:val="76027CEE"/>
    <w:rsid w:val="76DA4B97"/>
    <w:rsid w:val="76FD7E35"/>
    <w:rsid w:val="77603EAD"/>
    <w:rsid w:val="776A6714"/>
    <w:rsid w:val="787179F2"/>
    <w:rsid w:val="79354183"/>
    <w:rsid w:val="79AE51FE"/>
    <w:rsid w:val="79DD69D0"/>
    <w:rsid w:val="7A190D78"/>
    <w:rsid w:val="7AA12916"/>
    <w:rsid w:val="7AE83ABA"/>
    <w:rsid w:val="7B8130A0"/>
    <w:rsid w:val="7C5B0C23"/>
    <w:rsid w:val="7CB955BD"/>
    <w:rsid w:val="7DB44AA6"/>
    <w:rsid w:val="7DC05154"/>
    <w:rsid w:val="7DEE7682"/>
    <w:rsid w:val="7E2A07D2"/>
    <w:rsid w:val="7EF84FD8"/>
    <w:rsid w:val="7F0C398B"/>
    <w:rsid w:val="7F7C17CD"/>
    <w:rsid w:val="7FE8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2025-05-07T01:57:56Z</dcterms:created>
  <dc:creator>admin</dc:creator>
  <cp:lastModifiedBy>admin</cp:lastModifiedBy>
  <dcterms:modified xsi:type="dcterms:W3CDTF">2025-05-08T10:46:56Z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eyJoZGlkIjoiNWI5Mzk4YzdkZTg1NGVjZGU3MGE1YjY2NzhjZmMyNGUifQ==</vt:lpwstr>
  </property>
  <property fmtid="{D5CDD505-2E9C-101B-9397-08002B2CF9AE}" pid="4" name="ICV">
    <vt:lpwstr>F66DD9692E354019864D00DBCF685A20_12</vt:lpwstr>
  </property>
</Properties>
</file>